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7DD4">
      <w:pPr>
        <w:widowControl/>
        <w:spacing w:before="280" w:beforeAutospacing="1" w:after="280" w:afterAutospacing="1" w:line="420" w:lineRule="atLeast"/>
        <w:jc w:val="center"/>
        <w:rPr>
          <w:rFonts w:hint="default" w:ascii="宋体" w:hAnsi="宋体" w:eastAsia="宋体" w:cs="宋体"/>
          <w:b w:val="0"/>
          <w:bCs w:val="0"/>
          <w:kern w:val="44"/>
          <w:sz w:val="26"/>
          <w:szCs w:val="2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6"/>
          <w:szCs w:val="26"/>
          <w:lang w:val="en-US" w:eastAsia="zh-CN" w:bidi="ar"/>
        </w:rPr>
        <w:t>三亚学院2026年度国家级科研项目申报准备工作安排</w:t>
      </w:r>
    </w:p>
    <w:tbl>
      <w:tblPr>
        <w:tblStyle w:val="2"/>
        <w:tblW w:w="534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12"/>
        <w:gridCol w:w="3523"/>
        <w:gridCol w:w="1651"/>
        <w:gridCol w:w="2004"/>
      </w:tblGrid>
      <w:tr w14:paraId="7A4A2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BB896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D3E6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阶段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BDA6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主要任务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5AF9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责任主体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A22F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  <w:t>完成时限</w:t>
            </w:r>
          </w:p>
        </w:tc>
      </w:tr>
      <w:tr w14:paraId="500BD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CFB1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D5E1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组织团队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D440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各学院召开动员会，组建优势团队和潜力团队，开展选题准备与内部交流。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8395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各学院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01BF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18E7B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4BB1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A414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选题评审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3D66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邀请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权威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对选题+摘要进行评审，学校随后邀请专家进行选题意见交流。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5271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各学院</w:t>
            </w:r>
          </w:p>
          <w:p w14:paraId="014B3FC4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科研处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9493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460CF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2227">
            <w:pPr>
              <w:widowControl/>
              <w:autoSpaceDE/>
              <w:autoSpaceDN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E450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大会培训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0B50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邀请专家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开展集中指导培训。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CE00">
            <w:pPr>
              <w:widowControl/>
              <w:autoSpaceDE/>
              <w:autoSpaceDN/>
              <w:snapToGrid w:val="0"/>
              <w:spacing w:before="0" w:after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科研处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EA9E">
            <w:pPr>
              <w:widowControl/>
              <w:autoSpaceDE/>
              <w:autoSpaceDN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12月</w:t>
            </w:r>
          </w:p>
        </w:tc>
      </w:tr>
      <w:tr w14:paraId="73B53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18BF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A424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初稿撰写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9670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人完成初稿，并进行校内汇报。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A672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各学院</w:t>
            </w:r>
          </w:p>
          <w:p w14:paraId="4992DC09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2B1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75D2B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E7C3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4C0F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专家指导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7335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邀请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3名有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国社科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评审经验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的专家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对项目负责人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书进行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一对一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评审并提出修改意见。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979E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各学院</w:t>
            </w:r>
          </w:p>
          <w:p w14:paraId="5D2CE3AF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EA5F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64243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89F3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E02E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修改完善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E70E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学校邀请权威专家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申报书进一步打磨。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B6D8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科研处</w:t>
            </w:r>
          </w:p>
          <w:p w14:paraId="4E04F3C4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B8FF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6FF4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9093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55FC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推荐评议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2807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学校组织专家对申报书进行评议打分。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569B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科研处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2AF8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2025年3月5日</w:t>
            </w:r>
          </w:p>
        </w:tc>
      </w:tr>
      <w:tr w14:paraId="6F836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E68C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3C89">
            <w:pPr>
              <w:widowControl/>
              <w:autoSpaceDE/>
              <w:autoSpaceDN/>
              <w:spacing w:before="280" w:beforeAutospacing="1" w:after="280" w:afterAutospacing="1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形式审查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上报</w:t>
            </w: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A121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将材料报填，科研处负责形式审查及上报。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9692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科研处</w:t>
            </w:r>
          </w:p>
          <w:p w14:paraId="6A9EBB23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B87A">
            <w:pPr>
              <w:widowControl/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年3月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7E5EACC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注：时间节点参考往年申报国家申报通知要求并结合学校情况。</w:t>
      </w:r>
    </w:p>
    <w:p w14:paraId="22C0A2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52D72"/>
    <w:rsid w:val="542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-Arcobaleno</dc:creator>
  <cp:lastModifiedBy>-Arcobaleno</cp:lastModifiedBy>
  <dcterms:modified xsi:type="dcterms:W3CDTF">2025-11-26T01:53:36Z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5BE47097B61C416D807F4F75120A5F83_11</vt:lpwstr>
  </property>
  <property fmtid="{D5CDD505-2E9C-101B-9397-08002B2CF9AE}" pid="4" name="KSOTemplateDocerSaveRecord">
    <vt:lpwstr>eyJoZGlkIjoiNDAxZmRlZDJkZDg3MGNmOTM0MjIwOWNmZTNmNjI2NTUiLCJ1c2VySWQiOiIyNDQxNjY3MzkifQ==</vt:lpwstr>
  </property>
</Properties>
</file>