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79D5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0"/>
          <w:highlight w:val="none"/>
        </w:rPr>
      </w:pPr>
      <w:r>
        <w:rPr>
          <w:rFonts w:hint="eastAsia" w:ascii="方正小标宋简体" w:hAnsi="方正小标宋简体" w:eastAsia="方正小标宋简体" w:cs="方正小标宋简体"/>
          <w:sz w:val="44"/>
          <w:szCs w:val="40"/>
          <w:highlight w:val="none"/>
        </w:rPr>
        <w:t>关于2026年全国教育科学规划年度项目</w:t>
      </w:r>
    </w:p>
    <w:p w14:paraId="4503457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0"/>
          <w:highlight w:val="none"/>
        </w:rPr>
      </w:pPr>
      <w:r>
        <w:rPr>
          <w:rFonts w:hint="eastAsia" w:ascii="方正小标宋简体" w:hAnsi="方正小标宋简体" w:eastAsia="方正小标宋简体" w:cs="方正小标宋简体"/>
          <w:sz w:val="44"/>
          <w:szCs w:val="40"/>
          <w:highlight w:val="none"/>
        </w:rPr>
        <w:t>申报的通知</w:t>
      </w:r>
    </w:p>
    <w:p w14:paraId="1DEC7B2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0"/>
          <w:highlight w:val="none"/>
        </w:rPr>
      </w:pPr>
    </w:p>
    <w:p w14:paraId="385849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hAnsi="仿宋_GB2312" w:eastAsia="仿宋_GB2312" w:cs="仿宋_GB2312"/>
          <w:sz w:val="32"/>
          <w:szCs w:val="28"/>
          <w:highlight w:val="none"/>
          <w:lang w:val="en-US" w:eastAsia="zh-CN"/>
        </w:rPr>
      </w:pPr>
      <w:r>
        <w:rPr>
          <w:rFonts w:hint="eastAsia" w:ascii="仿宋_GB2312" w:hAnsi="仿宋_GB2312" w:eastAsia="仿宋_GB2312" w:cs="仿宋_GB2312"/>
          <w:sz w:val="32"/>
          <w:szCs w:val="28"/>
          <w:highlight w:val="none"/>
          <w:lang w:val="en-US" w:eastAsia="zh-CN"/>
        </w:rPr>
        <w:t>各学院、各部门：</w:t>
      </w:r>
    </w:p>
    <w:p w14:paraId="6801C1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lang w:val="en-US" w:eastAsia="zh-CN"/>
        </w:rPr>
      </w:pPr>
      <w:r>
        <w:rPr>
          <w:rFonts w:hint="eastAsia" w:ascii="仿宋_GB2312" w:hAnsi="仿宋_GB2312" w:eastAsia="仿宋_GB2312" w:cs="仿宋_GB2312"/>
          <w:sz w:val="32"/>
          <w:szCs w:val="28"/>
          <w:highlight w:val="none"/>
        </w:rPr>
        <w:t>全国教育科学规划领导小组办公室</w:t>
      </w:r>
      <w:r>
        <w:rPr>
          <w:rFonts w:hint="eastAsia" w:ascii="仿宋_GB2312" w:hAnsi="仿宋_GB2312" w:eastAsia="仿宋_GB2312" w:cs="仿宋_GB2312"/>
          <w:sz w:val="32"/>
          <w:szCs w:val="28"/>
          <w:highlight w:val="none"/>
          <w:lang w:val="en-US" w:eastAsia="zh-CN"/>
        </w:rPr>
        <w:t>已下发《2026年全国教育科学规划年度项目申报公告》，现将</w:t>
      </w:r>
      <w:r>
        <w:rPr>
          <w:rFonts w:hint="eastAsia" w:ascii="仿宋_GB2312" w:hAnsi="仿宋_GB2312" w:eastAsia="仿宋_GB2312" w:cs="仿宋_GB2312"/>
          <w:sz w:val="32"/>
          <w:szCs w:val="28"/>
          <w:highlight w:val="none"/>
        </w:rPr>
        <w:t>申报有关事项</w:t>
      </w:r>
      <w:r>
        <w:rPr>
          <w:rFonts w:hint="eastAsia" w:ascii="仿宋_GB2312" w:hAnsi="仿宋_GB2312" w:eastAsia="仿宋_GB2312" w:cs="仿宋_GB2312"/>
          <w:sz w:val="32"/>
          <w:szCs w:val="28"/>
          <w:highlight w:val="none"/>
          <w:lang w:val="en-US" w:eastAsia="zh-CN"/>
        </w:rPr>
        <w:t>通知</w:t>
      </w:r>
      <w:r>
        <w:rPr>
          <w:rFonts w:hint="eastAsia" w:ascii="仿宋_GB2312" w:hAnsi="仿宋_GB2312" w:eastAsia="仿宋_GB2312" w:cs="仿宋_GB2312"/>
          <w:sz w:val="32"/>
          <w:szCs w:val="28"/>
          <w:highlight w:val="none"/>
        </w:rPr>
        <w:t>如下</w:t>
      </w:r>
      <w:r>
        <w:rPr>
          <w:rFonts w:hint="eastAsia" w:ascii="仿宋_GB2312" w:hAnsi="仿宋_GB2312" w:eastAsia="仿宋_GB2312" w:cs="仿宋_GB2312"/>
          <w:sz w:val="32"/>
          <w:szCs w:val="28"/>
          <w:highlight w:val="none"/>
          <w:lang w:eastAsia="zh-CN"/>
        </w:rPr>
        <w:t>：</w:t>
      </w:r>
    </w:p>
    <w:p w14:paraId="3D5082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一、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26AD33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二、本次受理申报的年度项目包含国家社会科学基金教育学重点项目、一般项目、青年项目和西部项目；教育部重点项目、青年项目和博士生项目。</w:t>
      </w:r>
    </w:p>
    <w:p w14:paraId="70D141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338D66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660EC1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国家青年项目旨在加强对青年人才的扶持和培养，发挥青年学者优势，推进知识创新、理论创新、方法创新。全国教育科学规划年度项目将持续提升青年项目立项规模。</w:t>
      </w:r>
    </w:p>
    <w:p w14:paraId="55712F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3A737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教育部重点项目旨在支撑教育改革发展，注重教育政策研究，支持教育实践创新，推动教育实践经验的理论化体系化。</w:t>
      </w:r>
    </w:p>
    <w:p w14:paraId="45C67F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教育部青年项目旨在加强对青年人才的扶持和培养，涵养教育学术人才队伍，拓展教育学术视野，鼓励研究方法创新。</w:t>
      </w:r>
    </w:p>
    <w:p w14:paraId="543BC9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博士生项目旨在着力培养博士生独立开展科学研究的能力，提升科研素养，为教育学科可持续发展涵养储备人才。</w:t>
      </w:r>
    </w:p>
    <w:p w14:paraId="2CDEAF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三、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76CA3F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四、申请人须遵守中华人民共和国宪法和法律，遵守国家社会科学基金管理规定，具有独立开展研究和组织开展研究的能力，能够承担实质性研究工作，品行端正、学风优良，同时须具备下列相关条件：</w:t>
      </w:r>
    </w:p>
    <w:p w14:paraId="09707A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（一）国家重点项目和一般项目：具有副高级以上（含）专业技术职称（职务）或具有博士学位。申请人可根据自身研究基础、前期成果、项目论证质量、预期研究成果体量等，选择申报重点项目或一般项目。</w:t>
      </w:r>
    </w:p>
    <w:p w14:paraId="7E6F12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（二）国家青年项目、教育部重点项目、教育部青年项目：不作专业技术职称（职务）或博士学位要求。</w:t>
      </w:r>
    </w:p>
    <w:p w14:paraId="1EB1E1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（三）青年项目：男性申请人年龄不超过35周岁（1991年6月25日后出生），女性申请人年龄不超过40周岁（1986年6月25日后出生）。</w:t>
      </w:r>
    </w:p>
    <w:p w14:paraId="63ABF3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2CA50A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（五）博士生项目：本年度继续在有关高校试点博士生项目，向中西部适当倾斜。申请人为学术型博士生。其他全日制博士生不能申请各类项目。</w:t>
      </w:r>
    </w:p>
    <w:p w14:paraId="3C09F5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（六）符合申报要求的在站博士后人员可申请，其中全脱产博士后须从所在博士后工作站申请，在职博士后可以从所在工作单位或博士后工作站申请。</w:t>
      </w:r>
    </w:p>
    <w:p w14:paraId="0CCA792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116837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75286B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六、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35279CF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b/>
          <w:bCs/>
          <w:sz w:val="32"/>
          <w:szCs w:val="28"/>
          <w:highlight w:val="none"/>
        </w:rPr>
        <w:t>七、2026年全国教育科学规划年度项目全面实行限额申报，限额指标另行下达。</w:t>
      </w:r>
      <w:r>
        <w:rPr>
          <w:rFonts w:hint="eastAsia" w:ascii="仿宋_GB2312" w:hAnsi="仿宋_GB2312" w:eastAsia="仿宋_GB2312" w:cs="仿宋_GB2312"/>
          <w:sz w:val="32"/>
          <w:szCs w:val="28"/>
          <w:highlight w:val="none"/>
        </w:rPr>
        <w:t>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12项。博士生项目推荐数不占用所属二级管理单位的限额申报指标。</w:t>
      </w:r>
    </w:p>
    <w:p w14:paraId="7550BD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八、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3B461A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九、全国教育科学规划年度项目的完成时限最长不超过5年，基础理论研究一般为3-5年，应用对策研究一般为2-3年。博士生项目研究期限为2-3年，确保在读期间完成项目。</w:t>
      </w:r>
    </w:p>
    <w:p w14:paraId="3EA7D3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十、为避免一题多报、交叉申请和重复立项，确保申请人有足够的时间和精力从事项目研究，2026年全国教育科学规划项目年度申报作如下限定：</w:t>
      </w:r>
    </w:p>
    <w:p w14:paraId="352179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600F1C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（二）在研全国教育科学规划项目负责人，不得申报新的全国教育科学规划年度项目（结项证书标注日期应在2026年6月25日之前）。</w:t>
      </w:r>
    </w:p>
    <w:p w14:paraId="332A02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0E0843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（四）不得通过变换责任单位回避前述条款规定，不得将内容基本相同或相近的申报材料以不同申请人的名义申报。</w:t>
      </w:r>
    </w:p>
    <w:p w14:paraId="1FBEEE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0010C7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2305B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（七）不得使用与已发表、出版的内容基本相同的研究成果申报全国教育科学规划年度项目。</w:t>
      </w:r>
    </w:p>
    <w:p w14:paraId="136542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5B45C7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十一、本年度项目实行同行专家集中网络评审，专家对《全国教育科学规划项目论证活页》（含《选题说明》，以下简称《活页》）进行匿名评审。《活页》论证字数不超过7000字（含图表内容，其中《选题说明》不超过300字），并承诺具有相关领域研究基础，不得出现任何可能透露申请人身份的信息。博士生项目、中小学和幼儿园申请人申报的项目，实行单列单评。</w:t>
      </w:r>
    </w:p>
    <w:p w14:paraId="27E36A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十二、申报纪律要求</w:t>
      </w:r>
    </w:p>
    <w:p w14:paraId="1BD2D0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一）贯彻落实中央《关于进一步加强科研诚信建设的若干意见》，申报项目须按照《申请书》和《活页》要求如实填写材料，保证申请信息的真实性和准确性、保证没有知识产权争议、没有违背科研诚信要求的行为。</w:t>
      </w:r>
    </w:p>
    <w:p w14:paraId="164DA5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7221B2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1FBEF5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7B954F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十三、本年度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42979A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28"/>
          <w:highlight w:val="none"/>
        </w:rPr>
      </w:pPr>
      <w:r>
        <w:rPr>
          <w:rFonts w:hint="eastAsia" w:ascii="黑体" w:hAnsi="黑体" w:eastAsia="黑体" w:cs="黑体"/>
          <w:sz w:val="32"/>
          <w:szCs w:val="28"/>
          <w:highlight w:val="none"/>
        </w:rPr>
        <w:t>十四、</w:t>
      </w:r>
      <w:r>
        <w:rPr>
          <w:rFonts w:hint="eastAsia" w:ascii="黑体" w:hAnsi="黑体" w:eastAsia="黑体" w:cs="黑体"/>
          <w:sz w:val="32"/>
          <w:szCs w:val="28"/>
          <w:highlight w:val="none"/>
          <w:lang w:val="en-US" w:eastAsia="zh-CN"/>
        </w:rPr>
        <w:t>三亚学院</w:t>
      </w:r>
      <w:r>
        <w:rPr>
          <w:rFonts w:hint="eastAsia" w:ascii="黑体" w:hAnsi="黑体" w:eastAsia="黑体" w:cs="黑体"/>
          <w:sz w:val="32"/>
          <w:szCs w:val="28"/>
          <w:highlight w:val="none"/>
        </w:rPr>
        <w:t>申报安排</w:t>
      </w:r>
    </w:p>
    <w:p w14:paraId="0E1667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（一）申报系统于2026年6月10日零时</w:t>
      </w:r>
      <w:r>
        <w:rPr>
          <w:rFonts w:hint="eastAsia" w:ascii="仿宋_GB2312" w:hAnsi="仿宋_GB2312" w:eastAsia="仿宋_GB2312" w:cs="仿宋_GB2312"/>
          <w:sz w:val="32"/>
          <w:szCs w:val="28"/>
          <w:highlight w:val="none"/>
          <w:lang w:val="en-US" w:eastAsia="zh-CN"/>
        </w:rPr>
        <w:t>开放</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rPr>
        <w:t>申请人请及时注册（已有账号者无需再次注册），登录“全国教育科学规划管理平台”（https://202.205.185.227）中的“项目申报系统”在线填写信息及下载填报《申请书》和《活页》（均以系统中模板为准）。</w:t>
      </w:r>
    </w:p>
    <w:p w14:paraId="7E9853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（二）请各学院、部门于202</w:t>
      </w:r>
      <w:r>
        <w:rPr>
          <w:rFonts w:hint="eastAsia" w:ascii="仿宋_GB2312" w:hAnsi="仿宋_GB2312" w:eastAsia="仿宋_GB2312" w:cs="仿宋_GB2312"/>
          <w:sz w:val="32"/>
          <w:szCs w:val="28"/>
          <w:highlight w:val="none"/>
          <w:lang w:val="en-US" w:eastAsia="zh-CN"/>
        </w:rPr>
        <w:t>6</w:t>
      </w:r>
      <w:r>
        <w:rPr>
          <w:rFonts w:hint="eastAsia" w:ascii="仿宋_GB2312" w:hAnsi="仿宋_GB2312" w:eastAsia="仿宋_GB2312" w:cs="仿宋_GB2312"/>
          <w:sz w:val="32"/>
          <w:szCs w:val="28"/>
          <w:highlight w:val="none"/>
        </w:rPr>
        <w:t>年</w:t>
      </w:r>
      <w:r>
        <w:rPr>
          <w:rFonts w:hint="eastAsia" w:ascii="仿宋_GB2312" w:hAnsi="仿宋_GB2312" w:eastAsia="仿宋_GB2312" w:cs="仿宋_GB2312"/>
          <w:sz w:val="32"/>
          <w:szCs w:val="28"/>
          <w:highlight w:val="none"/>
          <w:lang w:val="en-US" w:eastAsia="zh-CN"/>
        </w:rPr>
        <w:t>6</w:t>
      </w:r>
      <w:r>
        <w:rPr>
          <w:rFonts w:hint="eastAsia" w:ascii="仿宋_GB2312" w:hAnsi="仿宋_GB2312" w:eastAsia="仿宋_GB2312" w:cs="仿宋_GB2312"/>
          <w:sz w:val="32"/>
          <w:szCs w:val="28"/>
          <w:highlight w:val="none"/>
        </w:rPr>
        <w:t>月</w:t>
      </w:r>
      <w:r>
        <w:rPr>
          <w:rFonts w:hint="eastAsia" w:ascii="仿宋_GB2312" w:hAnsi="仿宋_GB2312" w:eastAsia="仿宋_GB2312" w:cs="仿宋_GB2312"/>
          <w:sz w:val="32"/>
          <w:szCs w:val="28"/>
          <w:highlight w:val="none"/>
          <w:lang w:val="en-US" w:eastAsia="zh-CN"/>
        </w:rPr>
        <w:t>18</w:t>
      </w:r>
      <w:r>
        <w:rPr>
          <w:rFonts w:hint="eastAsia" w:ascii="仿宋_GB2312" w:hAnsi="仿宋_GB2312" w:eastAsia="仿宋_GB2312" w:cs="仿宋_GB2312"/>
          <w:sz w:val="32"/>
          <w:szCs w:val="28"/>
          <w:highlight w:val="none"/>
        </w:rPr>
        <w:t>日</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lang w:val="en-US" w:eastAsia="zh-CN"/>
        </w:rPr>
        <w:t>周四）下班</w:t>
      </w:r>
      <w:r>
        <w:rPr>
          <w:rFonts w:hint="eastAsia" w:ascii="仿宋_GB2312" w:hAnsi="仿宋_GB2312" w:eastAsia="仿宋_GB2312" w:cs="仿宋_GB2312"/>
          <w:sz w:val="32"/>
          <w:szCs w:val="28"/>
          <w:highlight w:val="none"/>
        </w:rPr>
        <w:t>前统一报送纸质版《申请书》（申请人和成员均已签字）一式</w:t>
      </w:r>
      <w:r>
        <w:rPr>
          <w:rFonts w:hint="eastAsia" w:ascii="仿宋_GB2312" w:hAnsi="仿宋_GB2312" w:eastAsia="仿宋_GB2312" w:cs="仿宋_GB2312"/>
          <w:sz w:val="32"/>
          <w:szCs w:val="28"/>
          <w:highlight w:val="none"/>
          <w:lang w:val="en-US" w:eastAsia="zh-CN"/>
        </w:rPr>
        <w:t>一</w:t>
      </w:r>
      <w:r>
        <w:rPr>
          <w:rFonts w:hint="eastAsia" w:ascii="仿宋_GB2312" w:hAnsi="仿宋_GB2312" w:eastAsia="仿宋_GB2312" w:cs="仿宋_GB2312"/>
          <w:sz w:val="32"/>
          <w:szCs w:val="28"/>
          <w:highlight w:val="none"/>
        </w:rPr>
        <w:t>份</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lang w:val="en-US" w:eastAsia="zh-CN"/>
        </w:rPr>
        <w:t>A4单面打印</w:t>
      </w:r>
      <w:r>
        <w:rPr>
          <w:rFonts w:hint="eastAsia" w:ascii="仿宋_GB2312" w:hAnsi="仿宋_GB2312" w:eastAsia="仿宋_GB2312" w:cs="仿宋_GB2312"/>
          <w:sz w:val="32"/>
          <w:szCs w:val="28"/>
          <w:highlight w:val="none"/>
        </w:rPr>
        <w:t>，无需装订</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lang w:val="en-US" w:eastAsia="zh-CN"/>
        </w:rPr>
        <w:t>用夹子夹住</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rPr>
        <w:t>，以便扫描上传文档。</w:t>
      </w:r>
    </w:p>
    <w:p w14:paraId="043DBA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注：《申请书》中“七、项目负责人所在单位意见”导出后请改为如下肯定性意见：</w:t>
      </w:r>
      <w:r>
        <w:rPr>
          <w:rFonts w:hint="eastAsia" w:ascii="仿宋_GB2312" w:hAnsi="仿宋_GB2312" w:eastAsia="仿宋_GB2312" w:cs="仿宋_GB2312"/>
          <w:b/>
          <w:bCs/>
          <w:sz w:val="32"/>
          <w:szCs w:val="28"/>
          <w:highlight w:val="none"/>
        </w:rPr>
        <w:t>申请书所填写的内容属实；申请人及项目组成员的政治和业务素质适合承担本项目的研究工作；本单位能提供完成本项目所需的时间和条件；本单位同意承担本项目的管理任务和信誉保证</w:t>
      </w:r>
      <w:r>
        <w:rPr>
          <w:rFonts w:hint="eastAsia" w:ascii="仿宋_GB2312" w:hAnsi="仿宋_GB2312" w:eastAsia="仿宋_GB2312" w:cs="仿宋_GB2312"/>
          <w:sz w:val="32"/>
          <w:szCs w:val="28"/>
          <w:highlight w:val="none"/>
        </w:rPr>
        <w:t>。</w:t>
      </w:r>
    </w:p>
    <w:p w14:paraId="2AA13A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（三）学校完成《申请书》签章后将及时返还，申请人须于202</w:t>
      </w:r>
      <w:r>
        <w:rPr>
          <w:rFonts w:hint="eastAsia" w:ascii="仿宋_GB2312" w:hAnsi="仿宋_GB2312" w:eastAsia="仿宋_GB2312" w:cs="仿宋_GB2312"/>
          <w:sz w:val="32"/>
          <w:szCs w:val="28"/>
          <w:highlight w:val="none"/>
          <w:lang w:val="en-US" w:eastAsia="zh-CN"/>
        </w:rPr>
        <w:t>6</w:t>
      </w:r>
      <w:r>
        <w:rPr>
          <w:rFonts w:hint="eastAsia" w:ascii="仿宋_GB2312" w:hAnsi="仿宋_GB2312" w:eastAsia="仿宋_GB2312" w:cs="仿宋_GB2312"/>
          <w:sz w:val="32"/>
          <w:szCs w:val="28"/>
          <w:highlight w:val="none"/>
        </w:rPr>
        <w:t>年</w:t>
      </w:r>
      <w:r>
        <w:rPr>
          <w:rFonts w:hint="eastAsia" w:ascii="仿宋_GB2312" w:hAnsi="仿宋_GB2312" w:eastAsia="仿宋_GB2312" w:cs="仿宋_GB2312"/>
          <w:sz w:val="32"/>
          <w:szCs w:val="28"/>
          <w:highlight w:val="none"/>
          <w:lang w:val="en-US" w:eastAsia="zh-CN"/>
        </w:rPr>
        <w:t>6</w:t>
      </w:r>
      <w:r>
        <w:rPr>
          <w:rFonts w:hint="eastAsia" w:ascii="仿宋_GB2312" w:hAnsi="仿宋_GB2312" w:eastAsia="仿宋_GB2312" w:cs="仿宋_GB2312"/>
          <w:sz w:val="32"/>
          <w:szCs w:val="28"/>
          <w:highlight w:val="none"/>
        </w:rPr>
        <w:t>月</w:t>
      </w:r>
      <w:r>
        <w:rPr>
          <w:rFonts w:hint="eastAsia" w:ascii="仿宋_GB2312" w:hAnsi="仿宋_GB2312" w:eastAsia="仿宋_GB2312" w:cs="仿宋_GB2312"/>
          <w:sz w:val="32"/>
          <w:szCs w:val="28"/>
          <w:highlight w:val="none"/>
          <w:lang w:val="en-US" w:eastAsia="zh-CN"/>
        </w:rPr>
        <w:t>22</w:t>
      </w:r>
      <w:r>
        <w:rPr>
          <w:rFonts w:hint="eastAsia" w:ascii="仿宋_GB2312" w:hAnsi="仿宋_GB2312" w:eastAsia="仿宋_GB2312" w:cs="仿宋_GB2312"/>
          <w:sz w:val="32"/>
          <w:szCs w:val="28"/>
          <w:highlight w:val="none"/>
        </w:rPr>
        <w:t>日</w:t>
      </w:r>
      <w:r>
        <w:rPr>
          <w:rFonts w:hint="eastAsia" w:ascii="仿宋_GB2312" w:hAnsi="仿宋_GB2312" w:eastAsia="仿宋_GB2312" w:cs="仿宋_GB2312"/>
          <w:sz w:val="32"/>
          <w:szCs w:val="28"/>
          <w:highlight w:val="none"/>
          <w:lang w:eastAsia="zh-CN"/>
        </w:rPr>
        <w:t>（</w:t>
      </w:r>
      <w:r>
        <w:rPr>
          <w:rFonts w:hint="eastAsia" w:ascii="仿宋_GB2312" w:hAnsi="仿宋_GB2312" w:eastAsia="仿宋_GB2312" w:cs="仿宋_GB2312"/>
          <w:sz w:val="32"/>
          <w:szCs w:val="28"/>
          <w:highlight w:val="none"/>
          <w:lang w:val="en-US" w:eastAsia="zh-CN"/>
        </w:rPr>
        <w:t>周一）下班</w:t>
      </w:r>
      <w:r>
        <w:rPr>
          <w:rFonts w:hint="eastAsia" w:ascii="仿宋_GB2312" w:hAnsi="仿宋_GB2312" w:eastAsia="仿宋_GB2312" w:cs="仿宋_GB2312"/>
          <w:sz w:val="32"/>
          <w:szCs w:val="28"/>
          <w:highlight w:val="none"/>
        </w:rPr>
        <w:t>前按要求上传PDF《申请书》（盖章版）和《活页》。要确保线上线下《申请书》和《活页》内容完全一致。逾期不予受理。</w:t>
      </w:r>
    </w:p>
    <w:p w14:paraId="68045D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（四）若有问题需咨询，</w:t>
      </w:r>
      <w:bookmarkStart w:id="0" w:name="_GoBack"/>
      <w:r>
        <w:rPr>
          <w:rFonts w:hint="eastAsia" w:ascii="仿宋_GB2312" w:hAnsi="仿宋_GB2312" w:eastAsia="仿宋_GB2312" w:cs="仿宋_GB2312"/>
          <w:b/>
          <w:bCs/>
          <w:sz w:val="32"/>
          <w:szCs w:val="28"/>
          <w:highlight w:val="none"/>
        </w:rPr>
        <w:t>请先查看《2026年全国教育科学规划各类项目申报常见问题答疑》和《全国教育科学规划管理平台操作手册-其他类别项目申报》</w:t>
      </w:r>
      <w:bookmarkEnd w:id="0"/>
      <w:r>
        <w:rPr>
          <w:rFonts w:hint="eastAsia" w:ascii="仿宋_GB2312" w:hAnsi="仿宋_GB2312" w:eastAsia="仿宋_GB2312" w:cs="仿宋_GB2312"/>
          <w:sz w:val="32"/>
          <w:szCs w:val="28"/>
          <w:highlight w:val="none"/>
        </w:rPr>
        <w:t>。</w:t>
      </w:r>
    </w:p>
    <w:p w14:paraId="21141D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28"/>
          <w:highlight w:val="none"/>
          <w:lang w:val="en-US" w:eastAsia="zh-CN"/>
        </w:rPr>
      </w:pPr>
      <w:r>
        <w:rPr>
          <w:rFonts w:hint="eastAsia" w:ascii="仿宋_GB2312" w:hAnsi="仿宋_GB2312" w:eastAsia="仿宋_GB2312" w:cs="仿宋_GB2312"/>
          <w:sz w:val="32"/>
          <w:szCs w:val="28"/>
          <w:highlight w:val="none"/>
        </w:rPr>
        <w:t>（五）联系方式：</w:t>
      </w:r>
      <w:r>
        <w:rPr>
          <w:rFonts w:hint="eastAsia" w:ascii="仿宋_GB2312" w:hAnsi="仿宋_GB2312" w:eastAsia="仿宋_GB2312" w:cs="仿宋_GB2312"/>
          <w:sz w:val="32"/>
          <w:szCs w:val="28"/>
          <w:highlight w:val="none"/>
          <w:lang w:val="en-US" w:eastAsia="zh-CN"/>
        </w:rPr>
        <w:t>吴昊</w:t>
      </w:r>
      <w:r>
        <w:rPr>
          <w:rFonts w:hint="eastAsia" w:ascii="仿宋_GB2312" w:hAnsi="仿宋_GB2312" w:eastAsia="仿宋_GB2312" w:cs="仿宋_GB2312"/>
          <w:sz w:val="32"/>
          <w:szCs w:val="28"/>
          <w:highlight w:val="none"/>
        </w:rPr>
        <w:t>，0898-883860</w:t>
      </w:r>
      <w:r>
        <w:rPr>
          <w:rFonts w:hint="eastAsia" w:ascii="仿宋_GB2312" w:hAnsi="仿宋_GB2312" w:eastAsia="仿宋_GB2312" w:cs="仿宋_GB2312"/>
          <w:sz w:val="32"/>
          <w:szCs w:val="28"/>
          <w:highlight w:val="none"/>
          <w:lang w:val="en-US" w:eastAsia="zh-CN"/>
        </w:rPr>
        <w:t>73</w:t>
      </w:r>
    </w:p>
    <w:p w14:paraId="557EEADD">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平台系统及技术问题请咨询400-800-1636</w:t>
      </w:r>
    </w:p>
    <w:p w14:paraId="171A529F">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仿宋_GB2312" w:eastAsia="仿宋_GB2312" w:cs="仿宋_GB2312"/>
          <w:sz w:val="32"/>
          <w:szCs w:val="28"/>
          <w:highlight w:val="none"/>
        </w:rPr>
      </w:pPr>
    </w:p>
    <w:p w14:paraId="60076696">
      <w:pPr>
        <w:keepNext w:val="0"/>
        <w:keepLines w:val="0"/>
        <w:pageBreakBefore w:val="0"/>
        <w:widowControl w:val="0"/>
        <w:kinsoku/>
        <w:wordWrap/>
        <w:overflowPunct/>
        <w:topLinePunct w:val="0"/>
        <w:autoSpaceDE/>
        <w:autoSpaceDN/>
        <w:bidi w:val="0"/>
        <w:adjustRightInd/>
        <w:snapToGrid/>
        <w:spacing w:line="560" w:lineRule="exact"/>
        <w:ind w:left="1760" w:leftChars="200" w:hanging="1280" w:hangingChars="4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lang w:val="en-US" w:eastAsia="zh-CN"/>
        </w:rPr>
        <w:t>附件：</w:t>
      </w:r>
      <w:r>
        <w:rPr>
          <w:rFonts w:hint="eastAsia" w:ascii="仿宋_GB2312" w:hAnsi="仿宋_GB2312" w:eastAsia="仿宋_GB2312" w:cs="仿宋_GB2312"/>
          <w:sz w:val="32"/>
          <w:szCs w:val="28"/>
          <w:highlight w:val="none"/>
        </w:rPr>
        <w:t>1.2026年全国教育科学规划年度项目重点条目与重要方向</w:t>
      </w:r>
    </w:p>
    <w:p w14:paraId="11FCF131">
      <w:pPr>
        <w:keepNext w:val="0"/>
        <w:keepLines w:val="0"/>
        <w:pageBreakBefore w:val="0"/>
        <w:widowControl w:val="0"/>
        <w:kinsoku/>
        <w:wordWrap/>
        <w:overflowPunct/>
        <w:topLinePunct w:val="0"/>
        <w:autoSpaceDE/>
        <w:autoSpaceDN/>
        <w:bidi w:val="0"/>
        <w:adjustRightInd/>
        <w:snapToGrid/>
        <w:spacing w:line="560" w:lineRule="exact"/>
        <w:ind w:left="1760" w:leftChars="600" w:hanging="320" w:hangingChars="1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2.2026年全国教育科学规划年度项目（国家重点、国家一般、国家青年、教育部重点、教育部青年、博士生项目、专项）申请书</w:t>
      </w:r>
    </w:p>
    <w:p w14:paraId="4819E27D">
      <w:pPr>
        <w:keepNext w:val="0"/>
        <w:keepLines w:val="0"/>
        <w:pageBreakBefore w:val="0"/>
        <w:widowControl w:val="0"/>
        <w:kinsoku/>
        <w:wordWrap/>
        <w:overflowPunct/>
        <w:topLinePunct w:val="0"/>
        <w:autoSpaceDE/>
        <w:autoSpaceDN/>
        <w:bidi w:val="0"/>
        <w:adjustRightInd/>
        <w:snapToGrid/>
        <w:spacing w:line="560" w:lineRule="exact"/>
        <w:ind w:left="1760" w:leftChars="600" w:hanging="320" w:hangingChars="1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3.2026年全国教育科学规划项目（国家重点、国家一般、国家青年、教育部重点、教育部青年、博士生项目、专项）-活页</w:t>
      </w:r>
    </w:p>
    <w:p w14:paraId="1FBF7062">
      <w:pPr>
        <w:keepNext w:val="0"/>
        <w:keepLines w:val="0"/>
        <w:pageBreakBefore w:val="0"/>
        <w:widowControl w:val="0"/>
        <w:kinsoku/>
        <w:wordWrap/>
        <w:overflowPunct/>
        <w:topLinePunct w:val="0"/>
        <w:autoSpaceDE/>
        <w:autoSpaceDN/>
        <w:bidi w:val="0"/>
        <w:adjustRightInd/>
        <w:snapToGrid/>
        <w:spacing w:line="560" w:lineRule="exact"/>
        <w:ind w:left="1760" w:leftChars="600" w:hanging="320" w:hangingChars="100"/>
        <w:jc w:val="left"/>
        <w:textAlignment w:val="auto"/>
        <w:rPr>
          <w:rFonts w:hint="eastAsia" w:ascii="仿宋_GB2312" w:hAnsi="仿宋_GB2312" w:eastAsia="仿宋_GB2312" w:cs="仿宋_GB2312"/>
          <w:sz w:val="32"/>
          <w:szCs w:val="28"/>
          <w:highlight w:val="none"/>
        </w:rPr>
      </w:pPr>
      <w:r>
        <w:rPr>
          <w:rFonts w:hint="eastAsia" w:ascii="仿宋_GB2312" w:hAnsi="仿宋_GB2312" w:eastAsia="仿宋_GB2312" w:cs="仿宋_GB2312"/>
          <w:sz w:val="32"/>
          <w:szCs w:val="28"/>
          <w:highlight w:val="none"/>
        </w:rPr>
        <w:t>4.2026年全国教育科学规划各类项目申报常见问题答疑</w:t>
      </w:r>
    </w:p>
    <w:p w14:paraId="5D2809E9">
      <w:pPr>
        <w:keepNext w:val="0"/>
        <w:keepLines w:val="0"/>
        <w:pageBreakBefore w:val="0"/>
        <w:widowControl w:val="0"/>
        <w:kinsoku/>
        <w:wordWrap/>
        <w:overflowPunct/>
        <w:topLinePunct w:val="0"/>
        <w:autoSpaceDE/>
        <w:autoSpaceDN/>
        <w:bidi w:val="0"/>
        <w:adjustRightInd/>
        <w:snapToGrid/>
        <w:spacing w:line="560" w:lineRule="exact"/>
        <w:ind w:left="1120" w:leftChars="200" w:hanging="640" w:hangingChars="200"/>
        <w:jc w:val="left"/>
        <w:textAlignment w:val="auto"/>
        <w:rPr>
          <w:rFonts w:hint="eastAsia" w:ascii="仿宋_GB2312" w:hAnsi="仿宋_GB2312" w:eastAsia="仿宋_GB2312" w:cs="仿宋_GB2312"/>
          <w:sz w:val="32"/>
          <w:szCs w:val="28"/>
          <w:highlight w:val="none"/>
        </w:rPr>
      </w:pPr>
    </w:p>
    <w:p w14:paraId="2A01464D">
      <w:pPr>
        <w:keepNext w:val="0"/>
        <w:keepLines w:val="0"/>
        <w:pageBreakBefore w:val="0"/>
        <w:widowControl w:val="0"/>
        <w:kinsoku/>
        <w:wordWrap/>
        <w:overflowPunct/>
        <w:topLinePunct w:val="0"/>
        <w:autoSpaceDE/>
        <w:autoSpaceDN/>
        <w:bidi w:val="0"/>
        <w:adjustRightInd/>
        <w:snapToGrid/>
        <w:spacing w:line="560" w:lineRule="exact"/>
        <w:ind w:left="1120" w:leftChars="200" w:hanging="640" w:hangingChars="200"/>
        <w:jc w:val="left"/>
        <w:textAlignment w:val="auto"/>
        <w:rPr>
          <w:rFonts w:hint="eastAsia" w:ascii="仿宋_GB2312" w:hAnsi="仿宋_GB2312" w:eastAsia="仿宋_GB2312" w:cs="仿宋_GB2312"/>
          <w:sz w:val="32"/>
          <w:szCs w:val="28"/>
          <w:highlight w:val="none"/>
        </w:rPr>
      </w:pPr>
    </w:p>
    <w:p w14:paraId="2D0AEF43">
      <w:pPr>
        <w:keepNext w:val="0"/>
        <w:keepLines w:val="0"/>
        <w:pageBreakBefore w:val="0"/>
        <w:widowControl w:val="0"/>
        <w:kinsoku/>
        <w:wordWrap/>
        <w:overflowPunct/>
        <w:topLinePunct w:val="0"/>
        <w:autoSpaceDE/>
        <w:autoSpaceDN/>
        <w:bidi w:val="0"/>
        <w:adjustRightInd/>
        <w:snapToGrid/>
        <w:spacing w:line="560" w:lineRule="exact"/>
        <w:ind w:left="0" w:leftChars="0" w:right="480" w:rightChars="200" w:firstLine="0" w:firstLineChars="0"/>
        <w:jc w:val="right"/>
        <w:textAlignment w:val="auto"/>
        <w:rPr>
          <w:rFonts w:hint="eastAsia" w:ascii="仿宋_GB2312" w:hAnsi="仿宋_GB2312" w:eastAsia="仿宋_GB2312" w:cs="仿宋_GB2312"/>
          <w:sz w:val="32"/>
          <w:szCs w:val="28"/>
          <w:highlight w:val="none"/>
          <w:lang w:val="en-US" w:eastAsia="zh-CN"/>
        </w:rPr>
      </w:pPr>
      <w:r>
        <w:rPr>
          <w:rFonts w:hint="eastAsia" w:ascii="仿宋_GB2312" w:hAnsi="仿宋_GB2312" w:eastAsia="仿宋_GB2312" w:cs="仿宋_GB2312"/>
          <w:sz w:val="32"/>
          <w:szCs w:val="28"/>
          <w:highlight w:val="none"/>
          <w:lang w:val="en-US" w:eastAsia="zh-CN"/>
        </w:rPr>
        <w:t>三亚学院科研处</w:t>
      </w:r>
    </w:p>
    <w:p w14:paraId="1300860E">
      <w:pPr>
        <w:keepNext w:val="0"/>
        <w:keepLines w:val="0"/>
        <w:pageBreakBefore w:val="0"/>
        <w:widowControl w:val="0"/>
        <w:kinsoku/>
        <w:wordWrap/>
        <w:overflowPunct/>
        <w:topLinePunct w:val="0"/>
        <w:autoSpaceDE/>
        <w:autoSpaceDN/>
        <w:bidi w:val="0"/>
        <w:adjustRightInd/>
        <w:snapToGrid/>
        <w:spacing w:line="560" w:lineRule="exact"/>
        <w:ind w:left="0" w:leftChars="0" w:right="480" w:rightChars="200" w:firstLine="0" w:firstLineChars="0"/>
        <w:jc w:val="right"/>
        <w:textAlignment w:val="auto"/>
        <w:rPr>
          <w:rFonts w:hint="default" w:ascii="仿宋_GB2312" w:hAnsi="仿宋_GB2312" w:eastAsia="仿宋_GB2312" w:cs="仿宋_GB2312"/>
          <w:sz w:val="32"/>
          <w:szCs w:val="28"/>
          <w:highlight w:val="none"/>
          <w:lang w:val="en-US" w:eastAsia="zh-CN"/>
        </w:rPr>
      </w:pPr>
      <w:r>
        <w:rPr>
          <w:rFonts w:hint="eastAsia" w:ascii="仿宋_GB2312" w:hAnsi="仿宋_GB2312" w:eastAsia="仿宋_GB2312" w:cs="仿宋_GB2312"/>
          <w:sz w:val="32"/>
          <w:szCs w:val="28"/>
          <w:highlight w:val="none"/>
          <w:lang w:val="en-US" w:eastAsia="zh-CN"/>
        </w:rPr>
        <w:t>2026年6月3日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003DA"/>
    <w:rsid w:val="0D6C2329"/>
    <w:rsid w:val="151C5D95"/>
    <w:rsid w:val="1E3173A3"/>
    <w:rsid w:val="1EA20660"/>
    <w:rsid w:val="29283150"/>
    <w:rsid w:val="2B361B54"/>
    <w:rsid w:val="2CAE409D"/>
    <w:rsid w:val="314E47F2"/>
    <w:rsid w:val="33174961"/>
    <w:rsid w:val="341B3FDD"/>
    <w:rsid w:val="3EC611F6"/>
    <w:rsid w:val="3EDC714B"/>
    <w:rsid w:val="3F4211EE"/>
    <w:rsid w:val="45533857"/>
    <w:rsid w:val="493F20C4"/>
    <w:rsid w:val="49465201"/>
    <w:rsid w:val="594F0101"/>
    <w:rsid w:val="5A032C9A"/>
    <w:rsid w:val="5CD93275"/>
    <w:rsid w:val="604F397F"/>
    <w:rsid w:val="60C54700"/>
    <w:rsid w:val="689A674E"/>
    <w:rsid w:val="71D5648D"/>
    <w:rsid w:val="739E583C"/>
    <w:rsid w:val="79AC25AE"/>
    <w:rsid w:val="7D9262A5"/>
    <w:rsid w:val="7EFF7C24"/>
    <w:rsid w:val="7F9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宋体" w:cs="Times New Roman"/>
      <w:kern w:val="2"/>
      <w:sz w:val="24"/>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5133</Words>
  <Characters>5320</Characters>
  <Lines>0</Lines>
  <Paragraphs>0</Paragraphs>
  <TotalTime>3</TotalTime>
  <ScaleCrop>false</ScaleCrop>
  <LinksUpToDate>false</LinksUpToDate>
  <CharactersWithSpaces>5320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2024-05-03T02:57:00Z</dcterms:created>
  <dc:creator>Administrator</dc:creator>
  <cp:lastModifiedBy>吴昊</cp:lastModifiedBy>
  <dcterms:modified xsi:type="dcterms:W3CDTF">2026-06-03T03:31:36Z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C5C60906CD8F464FA64740A6FDF2E743_12</vt:lpwstr>
  </property>
  <property fmtid="{D5CDD505-2E9C-101B-9397-08002B2CF9AE}" pid="4" name="KSOTemplateDocerSaveRecord">
    <vt:lpwstr>eyJoZGlkIjoiN2U2Mjg1M2Y0NjliZGExZmE3NzVmZTI1ZjE2Yzg4M2UiLCJ1c2VySWQiOiIyODcyNDUyMjgifQ==</vt:lpwstr>
  </property>
</Properties>
</file>