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373C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kern w:val="0"/>
          <w:sz w:val="44"/>
          <w:szCs w:val="44"/>
          <w:lang w:val="en-US" w:eastAsia="zh-CN" w:bidi="ar"/>
        </w:rPr>
      </w:pPr>
      <w:r>
        <w:rPr>
          <w:rFonts w:hint="eastAsia" w:ascii="方正公文小标宋" w:hAnsi="方正公文小标宋" w:eastAsia="方正公文小标宋" w:cs="方正公文小标宋"/>
          <w:kern w:val="0"/>
          <w:sz w:val="44"/>
          <w:szCs w:val="44"/>
          <w:lang w:val="en-US" w:eastAsia="zh-CN" w:bidi="ar"/>
        </w:rPr>
        <w:t>2026年全国教育科学规划学科建设与</w:t>
      </w:r>
    </w:p>
    <w:p w14:paraId="0EC2542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kern w:val="0"/>
          <w:sz w:val="44"/>
          <w:szCs w:val="44"/>
          <w:lang w:val="en-US" w:eastAsia="zh-CN" w:bidi="ar"/>
        </w:rPr>
        <w:t>研究生培养研究专项指南</w:t>
      </w:r>
    </w:p>
    <w:p w14:paraId="415501B3">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p w14:paraId="3830207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bidi="ar"/>
        </w:rPr>
        <w:t>学科建设与研究生培养研究专项包括重点和一般项目。申报专项须从指南中选题，并按照指南意图进行研究设计。如确有需要，可对指南意图进行适当微调，但不得大幅压缩或改变研究内容。自拟选题不予受理。研究期限为1-3年，不得延期。每个选题原则上只确立1个立项项目。</w:t>
      </w:r>
    </w:p>
    <w:p w14:paraId="12EE80BB">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color w:val="000000" w:themeColor="text1"/>
          <w:sz w:val="32"/>
          <w:szCs w:val="32"/>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一、人机共生理念下人工智能重塑大学与学科评价体系的路径研究</w:t>
      </w:r>
      <w:r>
        <w:rPr>
          <w:rFonts w:hint="eastAsia" w:ascii="黑体" w:hAnsi="黑体" w:eastAsia="黑体" w:cs="黑体"/>
          <w:b w:val="0"/>
          <w:bCs/>
          <w:color w:val="000000" w:themeColor="text1"/>
          <w:kern w:val="0"/>
          <w:sz w:val="32"/>
          <w:szCs w:val="32"/>
          <w:lang w:val="en-US" w:eastAsia="zh-CN" w:bidi="ar"/>
          <w14:textFill>
            <w14:solidFill>
              <w14:schemeClr w14:val="tx1"/>
            </w14:solidFill>
          </w14:textFill>
        </w:rPr>
        <w:t>（重点）</w:t>
      </w:r>
    </w:p>
    <w:p w14:paraId="2E1CF6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 w:hAnsi="楷体" w:eastAsia="楷体" w:cs="楷体"/>
          <w:b w:val="0"/>
          <w:bCs/>
          <w:sz w:val="32"/>
          <w:szCs w:val="32"/>
        </w:rPr>
      </w:pPr>
      <w:r>
        <w:rPr>
          <w:rStyle w:val="5"/>
          <w:rFonts w:hint="eastAsia" w:ascii="楷体" w:hAnsi="楷体" w:eastAsia="楷体" w:cs="楷体"/>
          <w:b w:val="0"/>
          <w:bCs/>
          <w:sz w:val="32"/>
          <w:szCs w:val="32"/>
          <w:bdr w:val="none" w:color="auto" w:sz="0" w:space="0"/>
        </w:rPr>
        <w:t>指南意图</w:t>
      </w:r>
    </w:p>
    <w:p w14:paraId="07EACA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bdr w:val="none" w:color="auto" w:sz="0" w:space="0"/>
        </w:rPr>
        <w:t>·梳理传统大学与学科评价范式的核心痛点及技术瓶颈，聚焦新时代教育评价改革“破五唯”和分类评价要求，研究人工智能赋能高等教育评价范式转型的现实需求与适配条件；</w:t>
      </w:r>
    </w:p>
    <w:p w14:paraId="160EC3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总结国内外运用人工智能赋能大学和学科评价的典型案例及实践经验，提炼可复制的技术路径与治理模式；</w:t>
      </w:r>
    </w:p>
    <w:p w14:paraId="7A0E43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立足中国高等教育实际，围绕评价导向、评价逻辑、评价维度、评价方法、治理范式等要素，构建基于人工智能的大学和学科评价新范式；</w:t>
      </w:r>
    </w:p>
    <w:p w14:paraId="3150E7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研究人工智能驱动评价范式改革的落地应用路径与政策保障。</w:t>
      </w:r>
    </w:p>
    <w:p w14:paraId="387361E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二、教育科技人才一体化推进中的“双一流”建设分类评价体系与资源配置研究（一般）</w:t>
      </w:r>
    </w:p>
    <w:p w14:paraId="25023D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rPr>
      </w:pPr>
      <w:r>
        <w:rPr>
          <w:rStyle w:val="5"/>
          <w:rFonts w:hint="eastAsia" w:ascii="楷体" w:hAnsi="楷体" w:eastAsia="楷体" w:cs="楷体"/>
          <w:b w:val="0"/>
          <w:bCs/>
          <w:sz w:val="32"/>
          <w:szCs w:val="32"/>
          <w:lang w:val="en-US" w:eastAsia="zh-CN"/>
        </w:rPr>
        <w:t>指南意图</w:t>
      </w:r>
    </w:p>
    <w:p w14:paraId="66A392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我国“双一流”建设分类评价体系与资源配置的现状、存在的主要问题（如评价指标与一体化发展结合不够紧密、资源配置导向不够鲜明等），深入剖析制约教育科技人才一体化深度融合的核心影响因素；</w:t>
      </w:r>
    </w:p>
    <w:p w14:paraId="34C1B3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bdr w:val="none" w:color="auto" w:sz="0" w:space="0"/>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围绕教育科技人才一体化的内在要求，聚焦“双一流”建设分类评价体系优化（如分类评价、贡献导向评价等）与资源配置机制创新（如动态调整、交叉学科倾斜、人才—平台—项目联动等），研究提出促进“双一流”建设高质量发展的评价与资源配置协同的政策建议。</w:t>
      </w:r>
    </w:p>
    <w:p w14:paraId="73C6508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三、智能时代研究生教育学科专业设置调整的逻辑和机制研究（一般）</w:t>
      </w:r>
    </w:p>
    <w:p w14:paraId="06E85C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373BF1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分析梳理主要发达国家在智能时代背景下研究生教育学科专业设置调整的经验做法、推进逻辑；</w:t>
      </w:r>
    </w:p>
    <w:p w14:paraId="3975B7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调研分析我国高校研究生教育学科专业设置调整的现状、面临的主要问题（如调整动力不足、学科专业壁垒较强、与智能时代人才需求脱节等），深入剖析制约动态调整的核心影响因素；</w:t>
      </w:r>
    </w:p>
    <w:p w14:paraId="390F54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围绕智能时代对学科专业快速响应、交叉融合、动态更新的新要求，聚焦学科专业设置调整的内在逻辑（如需求导向、知识逻辑、产业逻辑等）、动态调整机制（如预警、增设、退出等）以及政策保障体系，研究提出研究生教育学科专业设置调整的优化路径与政策建议。</w:t>
      </w:r>
    </w:p>
    <w:p w14:paraId="259BBB5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四、大科学时代背景下促进学科交叉融合的评价体系改革研究（一般）</w:t>
      </w:r>
    </w:p>
    <w:p w14:paraId="545827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 w:hAnsi="楷体" w:eastAsia="楷体" w:cs="楷体"/>
          <w:b w:val="0"/>
          <w:bCs/>
          <w:sz w:val="32"/>
          <w:szCs w:val="32"/>
        </w:rPr>
      </w:pPr>
      <w:r>
        <w:rPr>
          <w:rStyle w:val="5"/>
          <w:rFonts w:hint="eastAsia" w:ascii="楷体" w:hAnsi="楷体" w:eastAsia="楷体" w:cs="楷体"/>
          <w:b w:val="0"/>
          <w:bCs/>
          <w:sz w:val="32"/>
          <w:szCs w:val="32"/>
          <w:bdr w:val="none" w:color="auto" w:sz="0" w:space="0"/>
        </w:rPr>
        <w:t>指南意图</w:t>
      </w:r>
    </w:p>
    <w:p w14:paraId="72B5B2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分析梳理主要发达国家在大科学背景下推动学科交叉融合评价体系改革方面的典型做法与成功经验；</w:t>
      </w:r>
    </w:p>
    <w:p w14:paraId="7B6BCB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调研分析我国高校及科研机构推进学科交叉融合评价改革的现状、面临的主要障碍（如评价标准单一、交叉成果认可度低、团队贡献难以合理分配等），深入剖析制约学科交叉融合评价改革落地的核心影响因素；</w:t>
      </w:r>
    </w:p>
    <w:p w14:paraId="474834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围绕大科学时代学科交叉融合的跨学科性、协同性与不确定性，聚焦评价指标体系、分类与长周期评价机制、团队贡献与成果归属认定，以及评价结果与资源配置的联动等方面，研究提出推动学科交叉融合评价改革的路径与建议。</w:t>
      </w:r>
    </w:p>
    <w:p w14:paraId="2D82EFB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五、人工智能赋能研究生教育治理与决策（一般）</w:t>
      </w:r>
    </w:p>
    <w:p w14:paraId="752D76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rPr>
      </w:pPr>
      <w:r>
        <w:rPr>
          <w:rStyle w:val="5"/>
          <w:rFonts w:hint="eastAsia" w:ascii="楷体" w:hAnsi="楷体" w:eastAsia="楷体" w:cs="楷体"/>
          <w:b w:val="0"/>
          <w:bCs/>
          <w:sz w:val="32"/>
          <w:szCs w:val="32"/>
          <w:lang w:val="en-US" w:eastAsia="zh-CN"/>
        </w:rPr>
        <w:t>指南意图</w:t>
      </w:r>
    </w:p>
    <w:p w14:paraId="577A25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系统分析人工智能时代研究生教育治理在“技术快变与人才慢育”、“规模激增与质量保障”、“空间扩展与资源受限”三大维度面临的深层矛盾，精准识别从经验驱动向数据智能驱动转型的制度性、技术性障碍，论证构建服务于宏观决策与精准调控的“管理驾驶舱”的紧迫性与战略价值；</w:t>
      </w:r>
    </w:p>
    <w:p w14:paraId="28CE64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聚焦服务多层级（部、省、校、院）决策的根本目标，设计“研究生教育管理驾驶舱”的整体架构、数据底座与核心指标体系；</w:t>
      </w:r>
    </w:p>
    <w:p w14:paraId="75A852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在典型区域和高校开展“管理驾驶舱”原型系统的试点应用，评估其在提升治理精准性、响应及时性与决策科学性方面的效能。总结凝练可复制、可推广的建设标准、运行规范与协同机制，为规模化应用提供实践范式。</w:t>
      </w:r>
    </w:p>
    <w:p w14:paraId="197420A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六、医学专业学位研究生教育医教协同机制优化研究（一般）</w:t>
      </w:r>
    </w:p>
    <w:p w14:paraId="78B6D0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03C697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系统梳理医学专业学位研究生教育医教协同改革以来的政策实施成效；</w:t>
      </w:r>
    </w:p>
    <w:p w14:paraId="049FBB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调研分析医学专业学位研究生教育在招生、培养、师资、投入保障、质量评价、管理制度等方面的现实问题及影响因素；</w:t>
      </w:r>
    </w:p>
    <w:p w14:paraId="0DE443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研究提出医学专业学位研究生教育医教协同优化机制与政策建议。</w:t>
      </w:r>
    </w:p>
    <w:p w14:paraId="5B3FDC3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七、卓越工程师本研一体、融通培养机制研究（一般）</w:t>
      </w:r>
    </w:p>
    <w:p w14:paraId="5F46AD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21EE21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研究主要发达国家战略急需领域拔尖创新人才本研一体、融通培养的典型案例和成功经验；</w:t>
      </w:r>
    </w:p>
    <w:p w14:paraId="5FFE6E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调研分析我国战略急需领域，特别是卓越工程师产教融合培养改革等国家战略人才本研一体、融通培养的现状和学制、课程、培养方案、培养模式等方面的问题以及主要影响因素；</w:t>
      </w:r>
    </w:p>
    <w:p w14:paraId="255929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提出卓越工程师本研一体、融通培养的6年制本硕、8年制本博改革实践路径及政策建议。</w:t>
      </w:r>
    </w:p>
    <w:p w14:paraId="2D89384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八、学科交叉导向下项目制人才培养模式与质量保障机制研究（一般）</w:t>
      </w:r>
    </w:p>
    <w:p w14:paraId="774670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6E51B1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分析梳理主要发达国家跨学科项目制人才培养的典型模式和有关经验；</w:t>
      </w:r>
    </w:p>
    <w:p w14:paraId="11E7DE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调研分析国内“博士+硕士”双学位试点项目、国家急需高层次人才培养专项等的实施现状、特点与面临困难；</w:t>
      </w:r>
    </w:p>
    <w:p w14:paraId="5D55C4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研究提出完善双学位培养机制保障项目实施和学位授予质量的政策建议。</w:t>
      </w:r>
    </w:p>
    <w:p w14:paraId="4C89799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九、研究生申请学位前置条件优化路径研究（一般）</w:t>
      </w:r>
    </w:p>
    <w:p w14:paraId="00F64D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5C9674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梳理主要发达国家学位申请的前置条件设置，包括学术标准、实践能力、科研素养等；</w:t>
      </w:r>
    </w:p>
    <w:p w14:paraId="66259C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调研我国现行学位申请的前置条件设置情况，分析在学分要求、实践环节、成果认定等方面存在的问题及其对人才培养质量的影响；</w:t>
      </w:r>
    </w:p>
    <w:p w14:paraId="551203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研究提出适应不同类别研究生申请学位前置条件优化路径，并形成可操作的政策建议。</w:t>
      </w:r>
    </w:p>
    <w:p w14:paraId="0365B04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十、研究生培养质量提升路径与保障机制研究（一般）</w:t>
      </w:r>
    </w:p>
    <w:p w14:paraId="48BFED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451C64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分析梳理世界主要发达国家及国内高水平大学研究生培养质量提升的典型案例和成功经验；</w:t>
      </w:r>
    </w:p>
    <w:p w14:paraId="43E398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调研分析我国高校研究生培养的现状、面临的主要问题，深入剖析核心影响因素；</w:t>
      </w:r>
    </w:p>
    <w:p w14:paraId="0AB954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围绕研究生培养全过程，聚焦课程教学、分流与延期、导学关系等方面，研究提出研究生培养质量提升路径和政策建议。</w:t>
      </w:r>
    </w:p>
    <w:p w14:paraId="7CE63B5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十一、研究生思政教育与专业培养深度融合的路径优化研究（一般）</w:t>
      </w:r>
    </w:p>
    <w:p w14:paraId="263E9F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1D29CB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阐释研究生思政教育与专业培养深度融合的内在逻辑与理论基础；</w:t>
      </w:r>
    </w:p>
    <w:p w14:paraId="0D75EC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调研分析研究生思政、科研、实践深度融合现状、面临问题及主要影响因素；</w:t>
      </w:r>
    </w:p>
    <w:p w14:paraId="3CDF33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bdr w:val="none" w:color="auto" w:sz="0" w:space="0"/>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提出推动研究生思政教育与专业培养深度融合的优化路径。</w:t>
      </w:r>
    </w:p>
    <w:p w14:paraId="68957DF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十二、冷门绝学学科建设现状与发展机制研究（一般）</w:t>
      </w:r>
    </w:p>
    <w:p w14:paraId="0D1876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7A11F7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系统梳理我国冷门绝学学科传承及发展的现状；</w:t>
      </w:r>
    </w:p>
    <w:p w14:paraId="13EB4B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调研分析冷门绝学学科建设、人才培养及制度保障等方面面临的问题及影响因素；</w:t>
      </w:r>
    </w:p>
    <w:p w14:paraId="226CDB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提出冷门绝学发展的优化路径及政策建议。</w:t>
      </w:r>
    </w:p>
    <w:p w14:paraId="184803E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十三、卓越工程师企业导师育人机制优化研究（一般）</w:t>
      </w:r>
    </w:p>
    <w:p w14:paraId="0830E5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6F5DAF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调研典型高校卓越工程师培养中企业导师的选用机制和育人成效现状；</w:t>
      </w:r>
    </w:p>
    <w:p w14:paraId="19F4DB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研究分析企业导师选用机制和育人过程中面临的问题及影响因素；</w:t>
      </w:r>
    </w:p>
    <w:p w14:paraId="5FF199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探索构建校企导师协同育人路径和企业导师育人能力模型；</w:t>
      </w:r>
    </w:p>
    <w:p w14:paraId="42AB96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提出多方协同的企业导师队伍建设支持机制及政策建议。</w:t>
      </w:r>
    </w:p>
    <w:p w14:paraId="4BD6604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十四、技术集群视域下科教融合培养研究生的协同机制研究（一般）</w:t>
      </w:r>
    </w:p>
    <w:p w14:paraId="143B4B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0BF4EE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研究分析高科技企业、大学、科研机构等技术集群效应的形成机理；</w:t>
      </w:r>
    </w:p>
    <w:p w14:paraId="582EF6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探索发挥技术集群效应、协同培养研究生的推进路径；</w:t>
      </w:r>
    </w:p>
    <w:p w14:paraId="50025F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提出研究生培养协同推进机制与政策建议。</w:t>
      </w:r>
    </w:p>
    <w:p w14:paraId="3914F1D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十五、全球视野下产业急需人才培养模式研究（一般）</w:t>
      </w:r>
    </w:p>
    <w:p w14:paraId="0FC4D0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0E177F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系统追踪欧美等发达经济体在集成电路、人工智能、生物制造等关键战略领域的人才政策与产教融合机制；</w:t>
      </w:r>
    </w:p>
    <w:p w14:paraId="71A072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深入开展产教协同模式、课程体系重构、能力标准对接等专题比较研究；</w:t>
      </w:r>
    </w:p>
    <w:p w14:paraId="0CD462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剖析全球产业需求演变与教育供给创新的互动规律，研究成果产出和产业转化有效路径；</w:t>
      </w:r>
    </w:p>
    <w:p w14:paraId="58D988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提出服务我国工程硕博士等重点领域培养改革的具体措施和政策建议。</w:t>
      </w:r>
    </w:p>
    <w:p w14:paraId="4E3E917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pPr>
      <w:r>
        <w:rPr>
          <w:rStyle w:val="5"/>
          <w:rFonts w:hint="eastAsia" w:ascii="黑体" w:hAnsi="黑体" w:eastAsia="黑体" w:cs="黑体"/>
          <w:b w:val="0"/>
          <w:bCs/>
          <w:color w:val="000000" w:themeColor="text1"/>
          <w:kern w:val="0"/>
          <w:sz w:val="32"/>
          <w:szCs w:val="32"/>
          <w:lang w:val="en-US" w:eastAsia="zh-CN" w:bidi="ar"/>
          <w14:textFill>
            <w14:solidFill>
              <w14:schemeClr w14:val="tx1"/>
            </w14:solidFill>
          </w14:textFill>
        </w:rPr>
        <w:t>十六、高等学校研究生教育数据治理标准体系研究（一般）</w:t>
      </w:r>
    </w:p>
    <w:p w14:paraId="5322CE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楷体" w:hAnsi="楷体" w:eastAsia="楷体" w:cs="楷体"/>
          <w:b w:val="0"/>
          <w:bCs/>
          <w:sz w:val="32"/>
          <w:szCs w:val="32"/>
          <w:lang w:val="en-US" w:eastAsia="zh-CN"/>
        </w:rPr>
      </w:pPr>
      <w:r>
        <w:rPr>
          <w:rStyle w:val="5"/>
          <w:rFonts w:hint="eastAsia" w:ascii="楷体" w:hAnsi="楷体" w:eastAsia="楷体" w:cs="楷体"/>
          <w:b w:val="0"/>
          <w:bCs/>
          <w:sz w:val="32"/>
          <w:szCs w:val="32"/>
          <w:lang w:val="en-US" w:eastAsia="zh-CN"/>
        </w:rPr>
        <w:t>指南意图</w:t>
      </w:r>
    </w:p>
    <w:p w14:paraId="065D16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bdr w:val="none" w:color="auto" w:sz="0" w:space="0"/>
        </w:rPr>
        <w:t>明确数智时代高等学校研究生教育数据治理标准体系的内容框架，构建高等学校研究生数据治理质量的评估模型；</w:t>
      </w:r>
    </w:p>
    <w:p w14:paraId="3F8568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z w:val="32"/>
          <w:szCs w:val="32"/>
          <w:bdr w:val="none" w:color="auto" w:sz="0" w:space="0"/>
          <w:lang w:eastAsia="zh-CN"/>
        </w:rPr>
      </w:pPr>
      <w:r>
        <w:rPr>
          <w:rFonts w:hint="eastAsia" w:ascii="仿宋" w:hAnsi="仿宋" w:eastAsia="仿宋" w:cs="仿宋"/>
          <w:sz w:val="32"/>
          <w:szCs w:val="32"/>
        </w:rPr>
        <w:t>·</w:t>
      </w:r>
      <w:bookmarkStart w:id="0" w:name="_GoBack"/>
      <w:bookmarkEnd w:id="0"/>
      <w:r>
        <w:rPr>
          <w:rFonts w:hint="eastAsia" w:ascii="仿宋" w:hAnsi="仿宋" w:eastAsia="仿宋" w:cs="仿宋"/>
          <w:sz w:val="32"/>
          <w:szCs w:val="32"/>
          <w:bdr w:val="none" w:color="auto" w:sz="0" w:space="0"/>
        </w:rPr>
        <w:t>形成高等学校研究生数据治理的行业标准。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59E69D-115B-4C1F-88D2-BA9CF05E58C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方正公文小标宋">
    <w:panose1 w:val="02000500000000000000"/>
    <w:charset w:val="86"/>
    <w:family w:val="auto"/>
    <w:pitch w:val="default"/>
    <w:sig w:usb0="A00002BF" w:usb1="38CF7CFA" w:usb2="00000016" w:usb3="00000000" w:csb0="00040001" w:csb1="00000000"/>
    <w:embedRegular r:id="rId2" w:fontKey="{39D8E025-C9EE-4328-8FD1-ACFC7D8F908D}"/>
  </w:font>
  <w:font w:name="仿宋">
    <w:panose1 w:val="02010609060101010101"/>
    <w:charset w:val="86"/>
    <w:family w:val="auto"/>
    <w:pitch w:val="default"/>
    <w:sig w:usb0="800002BF" w:usb1="38CF7CFA" w:usb2="00000016" w:usb3="00000000" w:csb0="00040001" w:csb1="00000000"/>
    <w:embedRegular r:id="rId3" w:fontKey="{01158082-0F5F-4813-94DD-58EC0E04F79B}"/>
  </w:font>
  <w:font w:name="楷体">
    <w:panose1 w:val="02010609060101010101"/>
    <w:charset w:val="86"/>
    <w:family w:val="auto"/>
    <w:pitch w:val="default"/>
    <w:sig w:usb0="800002BF" w:usb1="38CF7CFA" w:usb2="00000016" w:usb3="00000000" w:csb0="00040001" w:csb1="00000000"/>
    <w:embedRegular r:id="rId4" w:fontKey="{0B0E5384-717D-4B2B-8DD5-B411747072E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7D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16</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2026-06-04T02:14:51Z</dcterms:created>
  <dc:creator>Administrator</dc:creator>
  <cp:lastModifiedBy>张征</cp:lastModifiedBy>
  <dcterms:modified xsi:type="dcterms:W3CDTF">2026-06-04T02:31:41Z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eyJoZGlkIjoiYmVmY2JhZWJjMTQzYmRiNTlkNzUxZjE0OGM1M2IzMDMiLCJ1c2VySWQiOiI0NzkwMjc4NjMifQ==</vt:lpwstr>
  </property>
  <property fmtid="{D5CDD505-2E9C-101B-9397-08002B2CF9AE}" pid="4" name="ICV">
    <vt:lpwstr>ED7E73F42CB1426D8ABF483BA0273EBA_12</vt:lpwstr>
  </property>
</Properties>
</file>