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1C34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kern w:val="0"/>
          <w:sz w:val="44"/>
          <w:szCs w:val="44"/>
          <w:lang w:val="en-US" w:eastAsia="zh-CN" w:bidi="ar"/>
        </w:rPr>
      </w:pPr>
      <w:r>
        <w:rPr>
          <w:rFonts w:hint="eastAsia" w:ascii="方正公文小标宋" w:hAnsi="方正公文小标宋" w:eastAsia="方正公文小标宋" w:cs="方正公文小标宋"/>
          <w:kern w:val="0"/>
          <w:sz w:val="44"/>
          <w:szCs w:val="44"/>
          <w:lang w:val="en-US" w:eastAsia="zh-CN" w:bidi="ar"/>
        </w:rPr>
        <w:t>2026年全国教育科学规划教育考试研究</w:t>
      </w:r>
    </w:p>
    <w:p w14:paraId="5F29367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kern w:val="0"/>
          <w:sz w:val="44"/>
          <w:szCs w:val="44"/>
          <w:lang w:val="en-US" w:eastAsia="zh-CN" w:bidi="ar"/>
        </w:rPr>
        <w:t>专项指南</w:t>
      </w:r>
    </w:p>
    <w:p w14:paraId="1F190D7D">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p w14:paraId="092164C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教育考试研究专项包括重点、一般和培育项目。申报教育考试研究专项，须从指南中选题，并按照指南意图开展研究。自拟选题不予受理。研究期限为2-3年，不得延期。每个选题原则上只确立1个立项项目。</w:t>
      </w:r>
    </w:p>
    <w:p w14:paraId="68582AD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面向国家战略急需领域人才选拔的高考内容与录取方式改革研究（重点）</w:t>
      </w:r>
    </w:p>
    <w:p w14:paraId="2A1BF84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指南意图</w:t>
      </w:r>
    </w:p>
    <w:p w14:paraId="35D9E8B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·聚焦3—5个国家战略急需领域，研究这些领域人才早期特质画像；</w:t>
      </w:r>
    </w:p>
    <w:p w14:paraId="1ED332B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研究分析现行高考各科（以数学、物理、化学、生物等为重点）与急需领域人才特质的契合度与差距；</w:t>
      </w:r>
    </w:p>
    <w:p w14:paraId="240608F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研究基于人才特质画像的高考内容改革路径；</w:t>
      </w:r>
    </w:p>
    <w:p w14:paraId="209C909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研究服务急需领域人才选拔的高考录取方式改革路径；</w:t>
      </w:r>
    </w:p>
    <w:p w14:paraId="3C18A52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研究提出高考服务国家战略急需领域人才选拔的政策建议。</w:t>
      </w:r>
    </w:p>
    <w:p w14:paraId="2857341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二、教育考试专属大模型构建与安全应用研究（重点）</w:t>
      </w:r>
    </w:p>
    <w:p w14:paraId="23338C3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指南意图</w:t>
      </w:r>
    </w:p>
    <w:p w14:paraId="683E398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研究适合教育考试机构私有化部署的专属大模型技术架构方案；</w:t>
      </w:r>
    </w:p>
    <w:p w14:paraId="3F15B02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研发适配教育考试核心业务场景的智能体；</w:t>
      </w:r>
    </w:p>
    <w:p w14:paraId="52CB6A6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研究专属大模型的训练模式与私有化部署规范；</w:t>
      </w:r>
    </w:p>
    <w:p w14:paraId="1B49450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研究专属大模型安全管控体系（包括数据安全、内容安全、隐私保护等）；</w:t>
      </w:r>
    </w:p>
    <w:p w14:paraId="5DE5042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开展典型业务场景的试点验证与效果评估。</w:t>
      </w:r>
    </w:p>
    <w:p w14:paraId="18E6A15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基于多源大规模考试数据的区域教育质量画像与精准诊断研究（一般）</w:t>
      </w:r>
    </w:p>
    <w:p w14:paraId="2D971F6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指南意图</w:t>
      </w:r>
    </w:p>
    <w:p w14:paraId="41D4B1D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梳理区域大规模考试数据来源，研究构建区域教育质量监测数据库；</w:t>
      </w:r>
    </w:p>
    <w:p w14:paraId="1934442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研究构建区域教育质量画像指标体系；</w:t>
      </w:r>
    </w:p>
    <w:p w14:paraId="35AF2AD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研究区域教育质量诊断分析模型；</w:t>
      </w:r>
    </w:p>
    <w:p w14:paraId="1DAF286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研究区域教育质量画像与诊断结果的可视化呈现；</w:t>
      </w:r>
    </w:p>
    <w:p w14:paraId="19895FD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开展区域教育质量画像与精准诊断的实证研究。</w:t>
      </w:r>
    </w:p>
    <w:p w14:paraId="7A831E8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四、普通高校艺术类专业省级统考质量监测指标与动态反馈机制研究（一般）</w:t>
      </w:r>
    </w:p>
    <w:p w14:paraId="307E287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指南意图</w:t>
      </w:r>
    </w:p>
    <w:p w14:paraId="4E20BAD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研究构建艺考省级统考质量监测指标体系；</w:t>
      </w:r>
    </w:p>
    <w:p w14:paraId="2FEC720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研究基于多源数据、针对不同专业类别的艺考质量动态监测技术与分析方法；</w:t>
      </w:r>
    </w:p>
    <w:p w14:paraId="2463369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开展艺考省级统考质量监测预警工具研发与应用；</w:t>
      </w:r>
    </w:p>
    <w:p w14:paraId="529292C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研究艺考省级统考质量监测结果的多维反馈与联动改进机制；</w:t>
      </w:r>
    </w:p>
    <w:p w14:paraId="64247E7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研制艺考省级统考质量保障操作指南。</w:t>
      </w:r>
    </w:p>
    <w:p w14:paraId="7CCB33D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五、大规模计算机化考试关键技术体系与安全保障机制研究（一般）</w:t>
      </w:r>
    </w:p>
    <w:p w14:paraId="6455421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指南意图</w:t>
      </w:r>
    </w:p>
    <w:p w14:paraId="6310E8E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研究大规模计算机化考试自主可控核心技术体系与一体化安全技术架构；</w:t>
      </w:r>
    </w:p>
    <w:p w14:paraId="6291B9A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研制大规模计算机化考试基础设施配置标准与国家级技术标准体系；</w:t>
      </w:r>
    </w:p>
    <w:p w14:paraId="36B249E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研究大规模计算机化考试安全风险识别模型与动态防控机制；</w:t>
      </w:r>
    </w:p>
    <w:p w14:paraId="2F732E8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研究大规模计算机化考试常态化运营管理体系与特殊群体支持体系；</w:t>
      </w:r>
    </w:p>
    <w:p w14:paraId="0591907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研究大规模计算机化考试多主体协同治理机制与制度保障体系。</w:t>
      </w:r>
    </w:p>
    <w:p w14:paraId="056226A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六、研究生招生考试自命题质量保障与风险防控一体化体系研究（一般）</w:t>
      </w:r>
    </w:p>
    <w:p w14:paraId="59A9746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5C21932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开展研究生招生考试自命题现状调研与问题诊断研究；</w:t>
      </w:r>
    </w:p>
    <w:p w14:paraId="2435A42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研究自命题质量评价指标体系与评价方法；</w:t>
      </w:r>
    </w:p>
    <w:p w14:paraId="3A1E8AB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研究构建自命题全流程质量保障体系；</w:t>
      </w:r>
    </w:p>
    <w:p w14:paraId="532CF93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研究自命题关键风险点识别、评估与防控一体化机制；</w:t>
      </w:r>
    </w:p>
    <w:p w14:paraId="4132FD0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研制自命题质量保障与风险防控操作指南。</w:t>
      </w:r>
    </w:p>
    <w:p w14:paraId="1F0D8B9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七、面向学习型社会的高等教育自学考试精准学习支持服务体系研究（一般）</w:t>
      </w:r>
    </w:p>
    <w:p w14:paraId="2FE5973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指南意图</w:t>
      </w:r>
    </w:p>
    <w:p w14:paraId="1464B86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开展自学考试考生群体的多维特征及学习需求分析；</w:t>
      </w:r>
    </w:p>
    <w:p w14:paraId="693CC16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研究供需适配的自学考试精准学习支持服务体系框架；</w:t>
      </w:r>
    </w:p>
    <w:p w14:paraId="7E07B8D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研发基于人工智能的精准学习支持服务典型场景与工具原型；</w:t>
      </w:r>
    </w:p>
    <w:p w14:paraId="53F117F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研究精准学习支持服务体系的质量标准与可持续发展机制；</w:t>
      </w:r>
    </w:p>
    <w:p w14:paraId="65EC997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研究提出精准学习支持服务体系的推进路径。</w:t>
      </w:r>
    </w:p>
    <w:p w14:paraId="4555CAB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八、面向人工智能时代的高考测量新构念与命题创新研究（培育）</w:t>
      </w:r>
    </w:p>
    <w:p w14:paraId="7425285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指南意图</w:t>
      </w:r>
    </w:p>
    <w:p w14:paraId="6F5D560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研究分析人工智能时代对人才能力结构的新要求；</w:t>
      </w:r>
    </w:p>
    <w:p w14:paraId="5107C66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分析人工智能时代对现有高考测量构念提出的新挑战与新需求；</w:t>
      </w:r>
    </w:p>
    <w:p w14:paraId="4E815F4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研究建构人工智能时代高考分学科（以语文、数学、英语为重点）测量新构念的理论框架；</w:t>
      </w:r>
    </w:p>
    <w:p w14:paraId="4147366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研究基于新构念的分学科创新题型与命题技术；</w:t>
      </w:r>
    </w:p>
    <w:p w14:paraId="22B2EA1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开展创新试题的实证研究。</w:t>
      </w:r>
    </w:p>
    <w:p w14:paraId="338FB4A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九、教育强国建设背景下适应基础教育课程改革的中小学教师准入评价体系创新研究（培育）</w:t>
      </w:r>
    </w:p>
    <w:p w14:paraId="792E77F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指南意图</w:t>
      </w:r>
    </w:p>
    <w:p w14:paraId="6D3DAF8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研究基础教育课程改革对中小学教师核心素养的新要求；</w:t>
      </w:r>
    </w:p>
    <w:p w14:paraId="7BE757A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开展当前中小学教师准入评价体系的现状审视与问题诊断研究；</w:t>
      </w:r>
    </w:p>
    <w:p w14:paraId="62FD124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研究构建适应基础教育课程改革需求的中小学教师准入评价体系框架；</w:t>
      </w:r>
    </w:p>
    <w:p w14:paraId="44CD91F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研究作为准入评价体系核心的中小学教师资格考试内容与形式改革；</w:t>
      </w:r>
    </w:p>
    <w:p w14:paraId="5C8C5AB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研究提出中小学教师准入评价体系整体改革与教师资格考试改革的政策建议。</w:t>
      </w:r>
    </w:p>
    <w:p w14:paraId="75D6B76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十、基于生成式人工智能的科学实验模拟场景构建与实验能力测评研究（培育）</w:t>
      </w:r>
    </w:p>
    <w:p w14:paraId="0B21162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指南意图</w:t>
      </w:r>
    </w:p>
    <w:p w14:paraId="24B7B90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研究生成式人工智能模拟科学实验场景的技术框架与应用边界；</w:t>
      </w:r>
    </w:p>
    <w:p w14:paraId="4227A10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研究基于生成式人工智能的科学实验模拟场景构建方法与关键技术；</w:t>
      </w:r>
    </w:p>
    <w:p w14:paraId="0DBFAFF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研发基于模拟场景的科学实验能力测评任务；</w:t>
      </w:r>
    </w:p>
    <w:p w14:paraId="31853C5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开展典型实验案例的测评工具开发与小规模实证研究；</w:t>
      </w:r>
    </w:p>
    <w:p w14:paraId="3453AAF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开展基于生成式人工智能模拟场景的实验能力测评效度研究。</w:t>
      </w:r>
    </w:p>
    <w:p w14:paraId="06760B9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十一、数智时代教育考试公平的风险识别与治理机制研究（培育）</w:t>
      </w:r>
    </w:p>
    <w:p w14:paraId="79ADFF0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指南意图</w:t>
      </w:r>
    </w:p>
    <w:p w14:paraId="039AAD9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研究剖析数智时代教育考试公平的现实挑战；</w:t>
      </w:r>
    </w:p>
    <w:p w14:paraId="3253BA6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研究数智时代教育考试公平的核心内涵与理论框架；</w:t>
      </w:r>
    </w:p>
    <w:p w14:paraId="513DC8A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研究数智时代教育考试公平风险的识别模型与评估方法；</w:t>
      </w:r>
    </w:p>
    <w:p w14:paraId="15A68EB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研究数智时代教育考试公平治理体系的框架与运行机制；</w:t>
      </w:r>
    </w:p>
    <w:p w14:paraId="0B21975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bookmarkStart w:id="0" w:name="_GoBack"/>
      <w:bookmarkEnd w:id="0"/>
      <w:r>
        <w:rPr>
          <w:rFonts w:hint="eastAsia" w:ascii="仿宋" w:hAnsi="仿宋" w:eastAsia="仿宋" w:cs="仿宋"/>
          <w:sz w:val="32"/>
          <w:szCs w:val="32"/>
        </w:rPr>
        <w:t>研究提出数智时代教育考试公平治理的实施策略与政策建议。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2EB3D7-9ED3-4356-9478-472A583C1F6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方正公文小标宋">
    <w:panose1 w:val="02000500000000000000"/>
    <w:charset w:val="86"/>
    <w:family w:val="auto"/>
    <w:pitch w:val="default"/>
    <w:sig w:usb0="A00002BF" w:usb1="38CF7CFA" w:usb2="00000016" w:usb3="00000000" w:csb0="00040001" w:csb1="00000000"/>
    <w:embedRegular r:id="rId2" w:fontKey="{013A98EB-1AAC-4EB1-A35B-813C07809124}"/>
  </w:font>
  <w:font w:name="仿宋">
    <w:panose1 w:val="02010609060101010101"/>
    <w:charset w:val="86"/>
    <w:family w:val="auto"/>
    <w:pitch w:val="default"/>
    <w:sig w:usb0="800002BF" w:usb1="38CF7CFA" w:usb2="00000016" w:usb3="00000000" w:csb0="00040001" w:csb1="00000000"/>
    <w:embedRegular r:id="rId3" w:fontKey="{DEF64E35-628E-4DCB-9D97-B05C1DF19B7C}"/>
  </w:font>
  <w:font w:name="楷体">
    <w:panose1 w:val="02010609060101010101"/>
    <w:charset w:val="86"/>
    <w:family w:val="auto"/>
    <w:pitch w:val="default"/>
    <w:sig w:usb0="800002BF" w:usb1="38CF7CFA" w:usb2="00000016" w:usb3="00000000" w:csb0="00040001" w:csb1="00000000"/>
    <w:embedRegular r:id="rId4" w:fontKey="{61B42797-497C-4F86-BAC8-99D9D9B6AB7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713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8</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2026-06-04T02:58:19Z</dcterms:created>
  <dc:creator>Administrator</dc:creator>
  <cp:lastModifiedBy>张征</cp:lastModifiedBy>
  <dcterms:modified xsi:type="dcterms:W3CDTF">2026-06-04T03:24:26Z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eyJoZGlkIjoiYmVmY2JhZWJjMTQzYmRiNTlkNzUxZjE0OGM1M2IzMDMiLCJ1c2VySWQiOiI0NzkwMjc4NjMifQ==</vt:lpwstr>
  </property>
  <property fmtid="{D5CDD505-2E9C-101B-9397-08002B2CF9AE}" pid="4" name="ICV">
    <vt:lpwstr>729F4194A47A445AAC99FB4F2BABA920_12</vt:lpwstr>
  </property>
</Properties>
</file>