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9607DA">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方正公文小标宋" w:hAnsi="方正公文小标宋" w:eastAsia="方正公文小标宋" w:cs="方正公文小标宋"/>
          <w:kern w:val="0"/>
          <w:sz w:val="44"/>
          <w:szCs w:val="44"/>
          <w:lang w:val="en-US" w:eastAsia="zh-CN" w:bidi="ar"/>
        </w:rPr>
      </w:pPr>
      <w:r>
        <w:rPr>
          <w:rFonts w:hint="eastAsia" w:ascii="方正公文小标宋" w:hAnsi="方正公文小标宋" w:eastAsia="方正公文小标宋" w:cs="方正公文小标宋"/>
          <w:kern w:val="0"/>
          <w:sz w:val="44"/>
          <w:szCs w:val="44"/>
          <w:lang w:val="en-US" w:eastAsia="zh-CN" w:bidi="ar"/>
        </w:rPr>
        <w:t>2026年全国教育科学规划终身教育体系</w:t>
      </w:r>
    </w:p>
    <w:p w14:paraId="46839235">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方正公文小标宋" w:hAnsi="方正公文小标宋" w:eastAsia="方正公文小标宋" w:cs="方正公文小标宋"/>
          <w:sz w:val="44"/>
          <w:szCs w:val="44"/>
        </w:rPr>
      </w:pPr>
      <w:r>
        <w:rPr>
          <w:rFonts w:hint="eastAsia" w:ascii="方正公文小标宋" w:hAnsi="方正公文小标宋" w:eastAsia="方正公文小标宋" w:cs="方正公文小标宋"/>
          <w:kern w:val="0"/>
          <w:sz w:val="44"/>
          <w:szCs w:val="44"/>
          <w:lang w:val="en-US" w:eastAsia="zh-CN" w:bidi="ar"/>
        </w:rPr>
        <w:t>研究专项指南</w:t>
      </w:r>
    </w:p>
    <w:p w14:paraId="7ED85D1C">
      <w:pPr>
        <w:keepNext w:val="0"/>
        <w:keepLines w:val="0"/>
        <w:pageBreakBefore w:val="0"/>
        <w:kinsoku/>
        <w:wordWrap/>
        <w:overflowPunct/>
        <w:topLinePunct w:val="0"/>
        <w:autoSpaceDE/>
        <w:autoSpaceDN/>
        <w:bidi w:val="0"/>
        <w:adjustRightInd/>
        <w:snapToGrid/>
        <w:spacing w:line="560" w:lineRule="exact"/>
        <w:textAlignment w:val="auto"/>
      </w:pPr>
    </w:p>
    <w:p w14:paraId="1458042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终身教育体系研究专项包括重大、重点和一般项目。项目申请人必须使用指南中的题目，按照指南意图对研究进行设计。研究期限为2-3年，不得延期。每个选题原则上只确立1个立项项目。</w:t>
      </w:r>
    </w:p>
    <w:p w14:paraId="14E5FAA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黑体" w:hAnsi="黑体" w:eastAsia="黑体" w:cs="黑体"/>
          <w:sz w:val="32"/>
          <w:szCs w:val="32"/>
          <w:lang w:eastAsia="zh-CN"/>
        </w:rPr>
        <w:t>一、</w:t>
      </w:r>
      <w:r>
        <w:rPr>
          <w:rFonts w:hint="eastAsia" w:ascii="黑体" w:hAnsi="黑体" w:eastAsia="黑体" w:cs="黑体"/>
          <w:sz w:val="32"/>
          <w:szCs w:val="32"/>
        </w:rPr>
        <w:t>优化终身学习公共服务研究（重大）</w:t>
      </w:r>
    </w:p>
    <w:p w14:paraId="7688455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指南意图</w:t>
      </w:r>
    </w:p>
    <w:p w14:paraId="657724F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·研究终身学习公共服务的理论建构与体系优化；</w:t>
      </w:r>
    </w:p>
    <w:p w14:paraId="7C26C62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研究终身学习资源开发质量、共享机制与配置效率的优化；</w:t>
      </w:r>
    </w:p>
    <w:p w14:paraId="5F9D365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研究基于国家智慧教育平台终身学习中心的数字化与人工智能赋能的关键技术；</w:t>
      </w:r>
    </w:p>
    <w:p w14:paraId="4DA6A6C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基于学习者需求识别与大数据治理，研究面向不同类型终身学习者的差异化服务路径；</w:t>
      </w:r>
    </w:p>
    <w:p w14:paraId="554EDB4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研究完善国家开放大学体系、促进终身学习公共服务质量提升与学习型社会建设的制度安排。</w:t>
      </w:r>
    </w:p>
    <w:p w14:paraId="50FCF94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eastAsia="zh-CN"/>
        </w:rPr>
        <w:t>二、</w:t>
      </w:r>
      <w:r>
        <w:rPr>
          <w:rFonts w:hint="eastAsia" w:ascii="黑体" w:hAnsi="黑体" w:eastAsia="黑体" w:cs="黑体"/>
          <w:sz w:val="32"/>
          <w:szCs w:val="32"/>
        </w:rPr>
        <w:t>终身学习公共服务的质量认证标准和保障体系研究（重点）</w:t>
      </w:r>
    </w:p>
    <w:p w14:paraId="234E712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指南意图</w:t>
      </w:r>
    </w:p>
    <w:p w14:paraId="51FCFDA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开展国内外终身学习公共服务的质量认证标准的比较研究，提出终身学习公共服务的质量认证标准的内涵、特征、基本框架和主要内容；</w:t>
      </w:r>
    </w:p>
    <w:p w14:paraId="31FB897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研究终身学习公共服务的多元质量保障主体的角色定位、权责划分与协同机制；</w:t>
      </w:r>
    </w:p>
    <w:p w14:paraId="6114D53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研究终身学习公共服务质量保障体系的关键要素、构建路径和运行机制；</w:t>
      </w:r>
    </w:p>
    <w:p w14:paraId="6395AF6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研究数字化技术与终身学习公共服务的质量保障的融合范式，探索基于大数据和人工智能支持的质量监测评价应用场景和实践路径。</w:t>
      </w:r>
    </w:p>
    <w:p w14:paraId="7510371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eastAsia="zh-CN"/>
        </w:rPr>
        <w:t>三、</w:t>
      </w:r>
      <w:r>
        <w:rPr>
          <w:rFonts w:hint="eastAsia" w:ascii="黑体" w:hAnsi="黑体" w:eastAsia="黑体" w:cs="黑体"/>
          <w:sz w:val="32"/>
          <w:szCs w:val="32"/>
        </w:rPr>
        <w:t>国家终身教育立法的定位、边界与制度架构研究（重点）</w:t>
      </w:r>
    </w:p>
    <w:p w14:paraId="616C697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指南意图</w:t>
      </w:r>
    </w:p>
    <w:p w14:paraId="09FA590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梳理国际终身教育立法经验，提炼可资借鉴的本土化制度建构要素；</w:t>
      </w:r>
    </w:p>
    <w:p w14:paraId="5F24438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论证终身教育在教育法典中的体系定位，厘清其与职业教育、继续教育、老年教育、社区教育、青少年校外教育等相邻领域的概念边界及法定内涵，并阐明其与基础教育、高等教育等传统教育阶段的关系；</w:t>
      </w:r>
    </w:p>
    <w:p w14:paraId="4A1A137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评估专门立法与分散入典两种路径，设计终身教育从现行政策到法典化的阶段性策略与过渡方案；</w:t>
      </w:r>
    </w:p>
    <w:p w14:paraId="45E3B3F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界定政府职责与社会参与的边界，构建多元主体权责清晰、激励约束并重的终身教育多元共治体系；</w:t>
      </w:r>
    </w:p>
    <w:p w14:paraId="2E55E07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研究国家开放大学办学体系的法定职能与经费保障机制，推动学分银行、老年大学建设等实践的制度化。</w:t>
      </w:r>
    </w:p>
    <w:p w14:paraId="5326FBE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eastAsia="zh-CN"/>
        </w:rPr>
        <w:t>四、</w:t>
      </w:r>
      <w:r>
        <w:rPr>
          <w:rFonts w:hint="eastAsia" w:ascii="黑体" w:hAnsi="黑体" w:eastAsia="黑体" w:cs="黑体"/>
          <w:sz w:val="32"/>
          <w:szCs w:val="32"/>
        </w:rPr>
        <w:t>银发经济背景下老年教育产教融合研究（重点）</w:t>
      </w:r>
    </w:p>
    <w:p w14:paraId="5DF418B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指南意图</w:t>
      </w:r>
    </w:p>
    <w:p w14:paraId="65BF099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研究银发经济与老年教</w:t>
      </w:r>
      <w:bookmarkStart w:id="0" w:name="_GoBack"/>
      <w:bookmarkEnd w:id="0"/>
      <w:r>
        <w:rPr>
          <w:rFonts w:hint="eastAsia" w:ascii="仿宋" w:hAnsi="仿宋" w:eastAsia="仿宋" w:cs="仿宋"/>
          <w:sz w:val="32"/>
          <w:szCs w:val="32"/>
        </w:rPr>
        <w:t>育相互促进、协同发展的内在逻辑；</w:t>
      </w:r>
    </w:p>
    <w:p w14:paraId="1FAAE28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开展国内外老年教育产教融合现状的文献综述与调查研究；</w:t>
      </w:r>
    </w:p>
    <w:p w14:paraId="7BB287A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研究银发经济背景下老年教育教学场景与教学内容的创新设计；</w:t>
      </w:r>
    </w:p>
    <w:p w14:paraId="00A1428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研究老年人力资源价值发挥与“老有所为”的有效路径；</w:t>
      </w:r>
    </w:p>
    <w:p w14:paraId="1788201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研究国家老年大学助力银发经济发展的推进策略。</w:t>
      </w:r>
    </w:p>
    <w:p w14:paraId="2F9DB48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eastAsia="zh-CN"/>
        </w:rPr>
        <w:t>五、</w:t>
      </w:r>
      <w:r>
        <w:rPr>
          <w:rFonts w:hint="eastAsia" w:ascii="黑体" w:hAnsi="黑体" w:eastAsia="黑体" w:cs="黑体"/>
          <w:sz w:val="32"/>
          <w:szCs w:val="32"/>
        </w:rPr>
        <w:t>成人终身学习成果档案与认证转换体系研究（一般）</w:t>
      </w:r>
    </w:p>
    <w:p w14:paraId="23897E5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指南意图</w:t>
      </w:r>
    </w:p>
    <w:p w14:paraId="64536B9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研究成人终身学习成果认证方法，丰富终身学习理论；</w:t>
      </w:r>
    </w:p>
    <w:p w14:paraId="79D55D2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研究成人终身学习成果积累与转换机制；</w:t>
      </w:r>
    </w:p>
    <w:p w14:paraId="30BA0BA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基于区块链技术的终身学习成果管理与服务平台研究；</w:t>
      </w:r>
    </w:p>
    <w:p w14:paraId="6B3C09A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成人终身学习成果档案与认证转换体系应用研究。</w:t>
      </w:r>
    </w:p>
    <w:p w14:paraId="0B9EBB1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六、智能体赋能的能力导向终身学习模式与评估研究（一般）</w:t>
      </w:r>
    </w:p>
    <w:p w14:paraId="450910C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指南意图</w:t>
      </w:r>
    </w:p>
    <w:p w14:paraId="0FB2446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基于能力本位教育理念，研究智能体驱动的能力导向终身学习模式的理论内涵与运行逻辑；</w:t>
      </w:r>
    </w:p>
    <w:p w14:paraId="6098D0F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聚焦真实问题场景与职业能力发展需求，研究多智能体支撑的终身学习服务实现路径；</w:t>
      </w:r>
    </w:p>
    <w:p w14:paraId="362B3EB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基于学习者与智能体交互数据，构建面向特定领域的终身学习多维能力评估体系；</w:t>
      </w:r>
    </w:p>
    <w:p w14:paraId="5D5E40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依托现有终身学习公共服务平台开展调研与应用数据分析。</w:t>
      </w:r>
    </w:p>
    <w:p w14:paraId="440F455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七、开放教育高质量核心课程建设与智能化教学模式研究（一般）</w:t>
      </w:r>
    </w:p>
    <w:p w14:paraId="73052C6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指南意图</w:t>
      </w:r>
    </w:p>
    <w:p w14:paraId="5A120BD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深入分析开放教育学生群体的构成特征、学习行为模式与学习需求；</w:t>
      </w:r>
    </w:p>
    <w:p w14:paraId="2FAAEAB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聚焦开放教育学习需求和应用型人才培养需要，研究如何构建以岗位胜任力培养为导向的核心课程体系；</w:t>
      </w:r>
    </w:p>
    <w:p w14:paraId="11977E8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探索人工智能、大数据等技术与开放教育大规模教学的深度融合路径，研究设计适应成人学习特点的智能化教学工具与个性化学习支持系统；</w:t>
      </w:r>
    </w:p>
    <w:p w14:paraId="2C2631D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开展人工智能赋能教学的实践研究，形成可推广的开放教育大规模、智能化教学模式。</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F8DB096-555F-493B-9527-262AF04A653C}"/>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ymbol">
    <w:panose1 w:val="05050102010706020507"/>
    <w:charset w:val="00"/>
    <w:family w:val="auto"/>
    <w:pitch w:val="default"/>
    <w:sig w:usb0="00000000" w:usb1="00000000" w:usb2="00000000" w:usb3="00000000" w:csb0="80000000" w:csb1="00000000"/>
  </w:font>
  <w:font w:name="Courier New">
    <w:panose1 w:val="02070309020205020404"/>
    <w:charset w:val="00"/>
    <w:family w:val="auto"/>
    <w:pitch w:val="default"/>
    <w:sig w:usb0="E0002A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方正公文小标宋">
    <w:panose1 w:val="02000500000000000000"/>
    <w:charset w:val="86"/>
    <w:family w:val="auto"/>
    <w:pitch w:val="default"/>
    <w:sig w:usb0="A00002BF" w:usb1="38CF7CFA" w:usb2="00000016" w:usb3="00000000" w:csb0="00040001" w:csb1="00000000"/>
    <w:embedRegular r:id="rId2" w:fontKey="{D37DABEF-B86B-41C4-9303-253A8EDE98D8}"/>
  </w:font>
  <w:font w:name="仿宋">
    <w:panose1 w:val="02010609060101010101"/>
    <w:charset w:val="86"/>
    <w:family w:val="auto"/>
    <w:pitch w:val="default"/>
    <w:sig w:usb0="800002BF" w:usb1="38CF7CFA" w:usb2="00000016" w:usb3="00000000" w:csb0="00040001" w:csb1="00000000"/>
    <w:embedRegular r:id="rId3" w:fontKey="{5C753AAE-CF64-408A-AA41-8641F124962E}"/>
  </w:font>
  <w:font w:name="楷体">
    <w:panose1 w:val="02010609060101010101"/>
    <w:charset w:val="86"/>
    <w:family w:val="auto"/>
    <w:pitch w:val="default"/>
    <w:sig w:usb0="800002BF" w:usb1="38CF7CFA" w:usb2="00000016" w:usb3="00000000" w:csb0="00040001" w:csb1="00000000"/>
    <w:embedRegular r:id="rId4" w:fontKey="{D6746425-EB12-4C8E-BDA5-332B2136D0E8}"/>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3BD41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5</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2026-06-04T04:08:54Z</dcterms:created>
  <dc:creator>Administrator</dc:creator>
  <cp:lastModifiedBy>张征</cp:lastModifiedBy>
  <dcterms:modified xsi:type="dcterms:W3CDTF">2026-06-04T04:14:16Z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eyJoZGlkIjoiYmVmY2JhZWJjMTQzYmRiNTlkNzUxZjE0OGM1M2IzMDMiLCJ1c2VySWQiOiI0NzkwMjc4NjMifQ==</vt:lpwstr>
  </property>
  <property fmtid="{D5CDD505-2E9C-101B-9397-08002B2CF9AE}" pid="4" name="ICV">
    <vt:lpwstr>705C32105A68477E8E6C6485CE496347_12</vt:lpwstr>
  </property>
</Properties>
</file>