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860C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4"/>
          <w:szCs w:val="36"/>
          <w:lang w:val="en-US" w:eastAsia="zh-CN"/>
        </w:rPr>
      </w:pPr>
      <w:bookmarkStart w:id="0" w:name="_GoBack"/>
      <w:r>
        <w:rPr>
          <w:rFonts w:hint="eastAsia" w:ascii="方正公文小标宋" w:hAnsi="方正公文小标宋" w:eastAsia="方正公文小标宋" w:cs="方正公文小标宋"/>
          <w:sz w:val="44"/>
          <w:szCs w:val="36"/>
          <w:lang w:val="en-US" w:eastAsia="zh-CN"/>
        </w:rPr>
        <w:t>2026年国家社会科学基金教育学重大项目</w:t>
      </w:r>
      <w:bookmarkEnd w:id="0"/>
      <w:r>
        <w:rPr>
          <w:rFonts w:hint="eastAsia" w:ascii="方正公文小标宋" w:hAnsi="方正公文小标宋" w:eastAsia="方正公文小标宋" w:cs="方正公文小标宋"/>
          <w:sz w:val="44"/>
          <w:szCs w:val="36"/>
          <w:lang w:val="en-US" w:eastAsia="zh-CN"/>
        </w:rPr>
        <w:t>选题指南</w:t>
      </w:r>
    </w:p>
    <w:p w14:paraId="42E71C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公文小标宋" w:hAnsi="方正公文小标宋" w:eastAsia="方正公文小标宋" w:cs="方正公文小标宋"/>
          <w:sz w:val="44"/>
          <w:szCs w:val="36"/>
          <w:lang w:val="en-US" w:eastAsia="zh-CN"/>
        </w:rPr>
      </w:pPr>
    </w:p>
    <w:p w14:paraId="15D742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年度国家社会科学基金教育学重大项目总体上延续“命题作文”方式，提供指南及其意图。申请者也可自选题目申报。鼓励多学科、跨学科合作申报。评审采取招标答辩方式，优中选优，宁缺毋滥。重大项目应用性研究一般应在2-3年完成，基础性研究最长不得超过5年。</w:t>
      </w:r>
    </w:p>
    <w:p w14:paraId="15E900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一、教育强国建设监测评价研究</w:t>
      </w:r>
    </w:p>
    <w:p w14:paraId="16B63D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指南意图：</w:t>
      </w:r>
    </w:p>
    <w:p w14:paraId="6FA419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（1）建构监测的指标体系；</w:t>
      </w:r>
    </w:p>
    <w:p w14:paraId="2E0ED6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（2）研发核心数据整合分析技术；</w:t>
      </w:r>
    </w:p>
    <w:p w14:paraId="4EA95E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（3）挖掘各地各校实践探索典型经验；</w:t>
      </w:r>
    </w:p>
    <w:p w14:paraId="21459ED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形成监测评价报告。</w:t>
      </w:r>
    </w:p>
    <w:p w14:paraId="666A09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二、新时代教育公平研究</w:t>
      </w:r>
    </w:p>
    <w:p w14:paraId="75B9E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2"/>
          <w:sz w:val="32"/>
          <w:szCs w:val="24"/>
          <w:lang w:val="en-US" w:eastAsia="zh-CN" w:bidi="ar-SA"/>
        </w:rPr>
        <w:t>指南意图：</w:t>
      </w:r>
    </w:p>
    <w:p w14:paraId="2F5482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（1）研究教育促进社会纵向流动现状；</w:t>
      </w:r>
    </w:p>
    <w:p w14:paraId="3C4732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（2）大规模调查社会公众对教育公平的诉求，形成教育公平问题社会认知报告；</w:t>
      </w:r>
    </w:p>
    <w:p w14:paraId="522B32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（3）提出新时代促进不同学段教育公平的新举措；</w:t>
      </w:r>
    </w:p>
    <w:p w14:paraId="7E83A4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（4）研究教育扩大中等收入群体具体办法；</w:t>
      </w:r>
    </w:p>
    <w:p w14:paraId="24904F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（5）建构新时代我国教育公平自主知识体系。</w:t>
      </w:r>
    </w:p>
    <w:p w14:paraId="233115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三、大中小学思政教育一体化方法与路径研究</w:t>
      </w:r>
    </w:p>
    <w:p w14:paraId="2B8D84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楷体" w:hAnsi="楷体" w:eastAsia="楷体" w:cs="楷体"/>
          <w:kern w:val="2"/>
          <w:sz w:val="32"/>
          <w:szCs w:val="24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2"/>
          <w:szCs w:val="24"/>
          <w:lang w:val="en-US" w:eastAsia="zh-CN" w:bidi="ar-SA"/>
        </w:rPr>
        <w:t>指南意图：</w:t>
      </w:r>
    </w:p>
    <w:p w14:paraId="3527E1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（1）研制一体化视域下的教学目标分级标准；</w:t>
      </w:r>
    </w:p>
    <w:p w14:paraId="40715C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（2）探索跨学段集体备课与协同教研机制；</w:t>
      </w:r>
    </w:p>
    <w:p w14:paraId="40E9F6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（3）建立一体化教学资源；</w:t>
      </w:r>
    </w:p>
    <w:p w14:paraId="342CA6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（4）提炼区域整体推进一体化的典型模式。</w:t>
      </w:r>
    </w:p>
    <w:p w14:paraId="19CD06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四、大中小学生学情调查研究</w:t>
      </w:r>
    </w:p>
    <w:p w14:paraId="41D236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楷体" w:hAnsi="楷体" w:eastAsia="楷体" w:cs="楷体"/>
          <w:kern w:val="2"/>
          <w:sz w:val="32"/>
          <w:szCs w:val="24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2"/>
          <w:szCs w:val="24"/>
          <w:lang w:val="en-US" w:eastAsia="zh-CN" w:bidi="ar-SA"/>
        </w:rPr>
        <w:t>指南意图：</w:t>
      </w:r>
    </w:p>
    <w:p w14:paraId="634647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（1）构建大中小学生学情监测多维评价指标体系；</w:t>
      </w:r>
    </w:p>
    <w:p w14:paraId="164631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（2）开展全国性、跨学段的大中小学生学情大规模实证调研并建立动态基础数据库；</w:t>
      </w:r>
    </w:p>
    <w:p w14:paraId="44A69F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（3）厘清学生厌学、学习动力不足及失学风险等异化学情的现状与成因；</w:t>
      </w:r>
    </w:p>
    <w:p w14:paraId="4A5FFD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（4）绘制学生典型学情画像，开发学情风险早期预警智能系统；</w:t>
      </w:r>
    </w:p>
    <w:p w14:paraId="15C209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（5）针对异化学情群体提出分类分级的精准干预策略。</w:t>
      </w:r>
    </w:p>
    <w:p w14:paraId="249618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五、学生核心素养发展状况监测评价研究</w:t>
      </w:r>
    </w:p>
    <w:p w14:paraId="5E89CC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</w:pPr>
      <w:r>
        <w:rPr>
          <w:rFonts w:hint="eastAsia" w:ascii="楷体" w:hAnsi="楷体" w:eastAsia="楷体" w:cs="楷体"/>
          <w:kern w:val="2"/>
          <w:sz w:val="32"/>
          <w:szCs w:val="24"/>
          <w:lang w:val="en-US" w:eastAsia="zh-CN" w:bidi="ar-SA"/>
        </w:rPr>
        <w:t>指南意图：</w:t>
      </w:r>
    </w:p>
    <w:p w14:paraId="0641DF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（1）研究素养与知识、能力的关系；</w:t>
      </w:r>
    </w:p>
    <w:p w14:paraId="714381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（2）提出核心素养分水平划分标准；</w:t>
      </w:r>
    </w:p>
    <w:p w14:paraId="1DE91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（3）建立核心素养发展状况监测工具开发模型；</w:t>
      </w:r>
    </w:p>
    <w:p w14:paraId="2B2AE0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（4）建构学生核心素养发展状况的监测指标体系；</w:t>
      </w:r>
    </w:p>
    <w:p w14:paraId="2B05E2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（5）形成监测结果报告。</w:t>
      </w:r>
    </w:p>
    <w:p w14:paraId="4F3310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六、延长义务教育年限政策保障研究</w:t>
      </w:r>
    </w:p>
    <w:p w14:paraId="3BC149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</w:pPr>
      <w:r>
        <w:rPr>
          <w:rFonts w:hint="eastAsia" w:ascii="楷体" w:hAnsi="楷体" w:eastAsia="楷体" w:cs="楷体"/>
          <w:kern w:val="2"/>
          <w:sz w:val="32"/>
          <w:szCs w:val="24"/>
          <w:lang w:val="en-US" w:eastAsia="zh-CN" w:bidi="ar-SA"/>
        </w:rPr>
        <w:t>指南意图：</w:t>
      </w:r>
    </w:p>
    <w:p w14:paraId="7CBD2A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（1）研究延长义务教育年限法治保障；</w:t>
      </w:r>
    </w:p>
    <w:p w14:paraId="03AB5D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（2）研究延长义务教育年限学校建设标准政策保障；</w:t>
      </w:r>
    </w:p>
    <w:p w14:paraId="6A0813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（3）研究延长义务教育年限教师政策保障；</w:t>
      </w:r>
    </w:p>
    <w:p w14:paraId="6014CA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（4）研究延长义务教育年限课程教材教学政策保障；</w:t>
      </w:r>
    </w:p>
    <w:p w14:paraId="60BE38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（5）研究延长义务教育年限考试评价政策保障；</w:t>
      </w:r>
    </w:p>
    <w:p w14:paraId="2EDBAA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（6）研究延长义务教育年限投入保障。</w:t>
      </w:r>
    </w:p>
    <w:p w14:paraId="037DBE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七、适应学生发展和社会发展的基础教育学制改革研究</w:t>
      </w:r>
    </w:p>
    <w:p w14:paraId="180E20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</w:pPr>
      <w:r>
        <w:rPr>
          <w:rFonts w:hint="eastAsia" w:ascii="楷体" w:hAnsi="楷体" w:eastAsia="楷体" w:cs="楷体"/>
          <w:kern w:val="2"/>
          <w:sz w:val="32"/>
          <w:szCs w:val="24"/>
          <w:lang w:val="en-US" w:eastAsia="zh-CN" w:bidi="ar-SA"/>
        </w:rPr>
        <w:t>指南意图：</w:t>
      </w:r>
    </w:p>
    <w:p w14:paraId="57D8DC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（1）梳理全球主要国家基础教育学制改革的演变；</w:t>
      </w:r>
    </w:p>
    <w:p w14:paraId="2FF22E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（2）总结国外基础教育学制改革典型案例；</w:t>
      </w:r>
    </w:p>
    <w:p w14:paraId="05C969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（3）开展国内基础教育学制改革探索的系统调研；</w:t>
      </w:r>
    </w:p>
    <w:p w14:paraId="7D5705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（4）诊断不同学段育人目标衔接状况；</w:t>
      </w:r>
    </w:p>
    <w:p w14:paraId="3C0981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（5）提出弹性学制改革的政策建议。</w:t>
      </w:r>
    </w:p>
    <w:p w14:paraId="161CD6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八、全球义务教育史料研究</w:t>
      </w:r>
    </w:p>
    <w:p w14:paraId="3CFB4E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</w:pPr>
      <w:r>
        <w:rPr>
          <w:rFonts w:hint="eastAsia" w:ascii="楷体" w:hAnsi="楷体" w:eastAsia="楷体" w:cs="楷体"/>
          <w:kern w:val="2"/>
          <w:sz w:val="32"/>
          <w:szCs w:val="24"/>
          <w:lang w:val="en-US" w:eastAsia="zh-CN" w:bidi="ar-SA"/>
        </w:rPr>
        <w:t>指南意图：</w:t>
      </w:r>
    </w:p>
    <w:p w14:paraId="14302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（1）搜集有代表性的国家义务教育制度史料；</w:t>
      </w:r>
    </w:p>
    <w:p w14:paraId="1E1D18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（2）搜集这些国家义务教育人物史料；</w:t>
      </w:r>
    </w:p>
    <w:p w14:paraId="01C47B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（3）搜集这些国家义务教育学校课程教学活动史料；</w:t>
      </w:r>
    </w:p>
    <w:p w14:paraId="1CC952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（4）编纂全球义务教育史料文献；</w:t>
      </w:r>
    </w:p>
    <w:p w14:paraId="378857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（5）建立全球义务教育史料数据库和展示平台。</w:t>
      </w:r>
    </w:p>
    <w:p w14:paraId="4D0558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九、应用型本科院校建设和发展研究</w:t>
      </w:r>
    </w:p>
    <w:p w14:paraId="438BC3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</w:pPr>
      <w:r>
        <w:rPr>
          <w:rFonts w:hint="eastAsia" w:ascii="楷体" w:hAnsi="楷体" w:eastAsia="楷体" w:cs="楷体"/>
          <w:kern w:val="2"/>
          <w:sz w:val="32"/>
          <w:szCs w:val="24"/>
          <w:lang w:val="en-US" w:eastAsia="zh-CN" w:bidi="ar-SA"/>
        </w:rPr>
        <w:t>指南意图：</w:t>
      </w:r>
    </w:p>
    <w:p w14:paraId="65B531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（1）研究高等学校分类框架下应用型本科院校评价体系；</w:t>
      </w:r>
    </w:p>
    <w:p w14:paraId="630D80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（2）开展应用型本科院校发展模式现状大调研，形成研究报告；</w:t>
      </w:r>
    </w:p>
    <w:p w14:paraId="7CDB3F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（3）开展应用型本科院校融入区域经济社会发展国际比较研究；</w:t>
      </w:r>
    </w:p>
    <w:p w14:paraId="67C84E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（4）研究应用型本科院校“教地适配”发展模式和评价标准。</w:t>
      </w:r>
    </w:p>
    <w:p w14:paraId="545023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十、颠覆性创新人才长周期培养体系研究</w:t>
      </w:r>
    </w:p>
    <w:p w14:paraId="1FB417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</w:pPr>
      <w:r>
        <w:rPr>
          <w:rFonts w:hint="eastAsia" w:ascii="楷体" w:hAnsi="楷体" w:eastAsia="楷体" w:cs="楷体"/>
          <w:kern w:val="2"/>
          <w:sz w:val="32"/>
          <w:szCs w:val="24"/>
          <w:lang w:val="en-US" w:eastAsia="zh-CN" w:bidi="ar-SA"/>
        </w:rPr>
        <w:t>指南意图：</w:t>
      </w:r>
    </w:p>
    <w:p w14:paraId="16CF28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（1）界定颠覆性创新人才的核心特质与识别标志；</w:t>
      </w:r>
    </w:p>
    <w:p w14:paraId="7354A3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（2）系统调研国内外颠覆性创新人才培养的典型模式；</w:t>
      </w:r>
    </w:p>
    <w:p w14:paraId="563B8E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（3）调研天才少年（U20）跨界思维、非共识性探索的核心需求；</w:t>
      </w:r>
    </w:p>
    <w:p w14:paraId="4AD3B5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（4）提出颠覆性创新人才长周期培养机制；</w:t>
      </w:r>
    </w:p>
    <w:p w14:paraId="3650F1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（5）建立跟踪颠覆性创新人才成长动态指标。</w:t>
      </w:r>
    </w:p>
    <w:p w14:paraId="7F8804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十一、高等学校招生培养就业一体化改革研究</w:t>
      </w:r>
    </w:p>
    <w:p w14:paraId="740D82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</w:pPr>
      <w:r>
        <w:rPr>
          <w:rFonts w:hint="eastAsia" w:ascii="楷体" w:hAnsi="楷体" w:eastAsia="楷体" w:cs="楷体"/>
          <w:kern w:val="2"/>
          <w:sz w:val="32"/>
          <w:szCs w:val="24"/>
          <w:lang w:val="en-US" w:eastAsia="zh-CN" w:bidi="ar-SA"/>
        </w:rPr>
        <w:t>指南意图：</w:t>
      </w:r>
    </w:p>
    <w:p w14:paraId="183E5D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（1）研究高等学校毕业生就业质量评价指标体系，开展就业质量评价，形成就业质量评价报告；</w:t>
      </w:r>
    </w:p>
    <w:p w14:paraId="7F97E1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（2）大规模开展高校毕业生、用人单位、高等学校、政府部门等主体的改革诉求调研，建立调研数据库；</w:t>
      </w:r>
    </w:p>
    <w:p w14:paraId="1FEE25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（3）研制就业岗位能力标准图谱，建立岗位需求信号向招生、培养环节的传导机制；</w:t>
      </w:r>
    </w:p>
    <w:p w14:paraId="14C5D0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（4）挖掘一体化改革的典型案例。</w:t>
      </w:r>
    </w:p>
    <w:p w14:paraId="4545DD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十二、中等职业教育高质量发展研究</w:t>
      </w:r>
    </w:p>
    <w:p w14:paraId="404FFD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</w:pPr>
      <w:r>
        <w:rPr>
          <w:rFonts w:hint="eastAsia" w:ascii="楷体" w:hAnsi="楷体" w:eastAsia="楷体" w:cs="楷体"/>
          <w:kern w:val="2"/>
          <w:sz w:val="32"/>
          <w:szCs w:val="24"/>
          <w:lang w:val="en-US" w:eastAsia="zh-CN" w:bidi="ar-SA"/>
        </w:rPr>
        <w:t>指南意图：</w:t>
      </w:r>
    </w:p>
    <w:p w14:paraId="3D8E76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（1）厘清职业教育体系中中等职业教育功能定位；</w:t>
      </w:r>
    </w:p>
    <w:p w14:paraId="74D701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（2）比较国际中等职业教育改革的典型模式；</w:t>
      </w:r>
    </w:p>
    <w:p w14:paraId="40FB1E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（3）聚焦关键要素创新中等职业教育人才培养模式；</w:t>
      </w:r>
    </w:p>
    <w:p w14:paraId="024B0F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（4）提出破解中等职业学校产教融合不深的新举措；</w:t>
      </w:r>
    </w:p>
    <w:p w14:paraId="02BFA7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（5）研究中等教育结构；</w:t>
      </w:r>
    </w:p>
    <w:p w14:paraId="6A1FCE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（6）提出学龄人口变动背景下中等职业学校布局优化方案。</w:t>
      </w:r>
    </w:p>
    <w:p w14:paraId="51BE03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十三、人工智能时代学习规律研究</w:t>
      </w:r>
    </w:p>
    <w:p w14:paraId="328098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</w:pPr>
      <w:r>
        <w:rPr>
          <w:rFonts w:hint="eastAsia" w:ascii="楷体" w:hAnsi="楷体" w:eastAsia="楷体" w:cs="楷体"/>
          <w:kern w:val="2"/>
          <w:sz w:val="32"/>
          <w:szCs w:val="24"/>
          <w:lang w:val="en-US" w:eastAsia="zh-CN" w:bidi="ar-SA"/>
        </w:rPr>
        <w:t>指南意图：</w:t>
      </w:r>
    </w:p>
    <w:p w14:paraId="2F2159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（1）在人工智能时代重审制度化教育和非学校化社会等理论；</w:t>
      </w:r>
    </w:p>
    <w:p w14:paraId="430CE4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（2）开展技术改变教育逻辑历史研究；</w:t>
      </w:r>
    </w:p>
    <w:p w14:paraId="1B601D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（3）辨析现有人工智能学习理论；</w:t>
      </w:r>
    </w:p>
    <w:p w14:paraId="3428E1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（4）开展大规模AI学习行为实证调查；</w:t>
      </w:r>
    </w:p>
    <w:p w14:paraId="47FCFC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（5）建构智能时代学习规律本土化理论模型；</w:t>
      </w:r>
    </w:p>
    <w:p w14:paraId="79754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（6）提出适应AI变革的学习基本命题，编著《人工智能时代学习论》；</w:t>
      </w:r>
    </w:p>
    <w:p w14:paraId="4032B9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（7）在3-5个区域和学校打造新学习形态。</w:t>
      </w:r>
    </w:p>
    <w:p w14:paraId="121A07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十四、人工智能对学生思维发展影响的实验研究</w:t>
      </w:r>
    </w:p>
    <w:p w14:paraId="6AFB9C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</w:pPr>
      <w:r>
        <w:rPr>
          <w:rFonts w:hint="eastAsia" w:ascii="楷体" w:hAnsi="楷体" w:eastAsia="楷体" w:cs="楷体"/>
          <w:kern w:val="2"/>
          <w:sz w:val="32"/>
          <w:szCs w:val="24"/>
          <w:lang w:val="en-US" w:eastAsia="zh-CN" w:bidi="ar-SA"/>
        </w:rPr>
        <w:t>指南意图：</w:t>
      </w:r>
    </w:p>
    <w:p w14:paraId="177686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（1）按照实验规范开展研究；</w:t>
      </w:r>
    </w:p>
    <w:p w14:paraId="59753E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（2）验证人工智能对学生思维发展产生影响的诸多认识；</w:t>
      </w:r>
    </w:p>
    <w:p w14:paraId="62085C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（3）提出人工智能对学生思维发展的影响因素；</w:t>
      </w:r>
    </w:p>
    <w:p w14:paraId="0135B4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（4）建构人工智能影响下学生高阶思维发展模型。</w:t>
      </w:r>
    </w:p>
    <w:p w14:paraId="0EA712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十五、人工智能时代幼儿大脑教育开发研究</w:t>
      </w:r>
    </w:p>
    <w:p w14:paraId="12D0E3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</w:pPr>
      <w:r>
        <w:rPr>
          <w:rFonts w:hint="eastAsia" w:ascii="楷体" w:hAnsi="楷体" w:eastAsia="楷体" w:cs="楷体"/>
          <w:kern w:val="2"/>
          <w:sz w:val="32"/>
          <w:szCs w:val="24"/>
          <w:lang w:val="en-US" w:eastAsia="zh-CN" w:bidi="ar-SA"/>
        </w:rPr>
        <w:t>指南意图：</w:t>
      </w:r>
    </w:p>
    <w:p w14:paraId="33BA12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（1）研究人工智能时代幼儿大脑发育规律；</w:t>
      </w:r>
    </w:p>
    <w:p w14:paraId="231A30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（2）研究人工智能驱动幼儿大脑个性化教育开发的机制；</w:t>
      </w:r>
    </w:p>
    <w:p w14:paraId="540BE0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（3）研制幼儿人工智能使用分级指导标准和伦理规范；</w:t>
      </w:r>
    </w:p>
    <w:p w14:paraId="71D86F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（4）建立人机协同范式下幼儿教师保教能力标准；</w:t>
      </w:r>
    </w:p>
    <w:p w14:paraId="46112D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（5）提出以幼儿大脑开发反哺人工智能突破的理论模型；</w:t>
      </w:r>
    </w:p>
    <w:p w14:paraId="79995A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（6）形成人工智能融入幼儿教育的国际比较案例库。</w:t>
      </w:r>
    </w:p>
    <w:p w14:paraId="5174E7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十六、新时代教师教育体系改革研究</w:t>
      </w:r>
    </w:p>
    <w:p w14:paraId="03A6DE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</w:pPr>
      <w:r>
        <w:rPr>
          <w:rFonts w:hint="eastAsia" w:ascii="楷体" w:hAnsi="楷体" w:eastAsia="楷体" w:cs="楷体"/>
          <w:kern w:val="2"/>
          <w:sz w:val="32"/>
          <w:szCs w:val="24"/>
          <w:lang w:val="en-US" w:eastAsia="zh-CN" w:bidi="ar-SA"/>
        </w:rPr>
        <w:t>指南意图：</w:t>
      </w:r>
    </w:p>
    <w:p w14:paraId="77C37C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（1）研究高等学校分类框架下师范类院校评价体系；</w:t>
      </w:r>
    </w:p>
    <w:p w14:paraId="6CF16E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（2）提出师范院校教师培养模式改革方案；</w:t>
      </w:r>
    </w:p>
    <w:p w14:paraId="1308CB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（3）研究教师培养环节人工智能素养能力标准；</w:t>
      </w:r>
    </w:p>
    <w:p w14:paraId="6BEFC7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（4）总结我国“双一流”综合性大学开展教师教育经验；</w:t>
      </w:r>
    </w:p>
    <w:p w14:paraId="247C92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（5）开展世界一流大学教师教育模式国别比较研究。</w:t>
      </w:r>
    </w:p>
    <w:p w14:paraId="207DC7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十七、民办教育战略重塑研究</w:t>
      </w:r>
    </w:p>
    <w:p w14:paraId="586CBE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</w:pPr>
      <w:r>
        <w:rPr>
          <w:rFonts w:hint="eastAsia" w:ascii="楷体" w:hAnsi="楷体" w:eastAsia="楷体" w:cs="楷体"/>
          <w:kern w:val="2"/>
          <w:sz w:val="32"/>
          <w:szCs w:val="24"/>
          <w:lang w:val="en-US" w:eastAsia="zh-CN" w:bidi="ar-SA"/>
        </w:rPr>
        <w:t>指南意图：</w:t>
      </w:r>
    </w:p>
    <w:p w14:paraId="44C45C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（1）开展民办教育社会化认同调研；</w:t>
      </w:r>
    </w:p>
    <w:p w14:paraId="23074F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（2）分析民办教育发挥战略功能的领域；</w:t>
      </w:r>
    </w:p>
    <w:p w14:paraId="546ED5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（3）结合学龄人口变动开展各级各类教育中民办教育需求调查；</w:t>
      </w:r>
    </w:p>
    <w:p w14:paraId="5F4A54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（4）提出发挥民办教育战略功能的政策建议。</w:t>
      </w:r>
    </w:p>
    <w:p w14:paraId="474199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十八、适应学龄人口变动的教育经费分配新机制研究</w:t>
      </w:r>
    </w:p>
    <w:p w14:paraId="6EEE61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</w:pPr>
      <w:r>
        <w:rPr>
          <w:rFonts w:hint="eastAsia" w:ascii="楷体" w:hAnsi="楷体" w:eastAsia="楷体" w:cs="楷体"/>
          <w:kern w:val="2"/>
          <w:sz w:val="32"/>
          <w:szCs w:val="24"/>
          <w:lang w:val="en-US" w:eastAsia="zh-CN" w:bidi="ar-SA"/>
        </w:rPr>
        <w:t>指南意图：</w:t>
      </w:r>
    </w:p>
    <w:p w14:paraId="118E81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（1）研判学龄人口变动下教育财政投入风险；</w:t>
      </w:r>
    </w:p>
    <w:p w14:paraId="46677B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（2）研究义务教育“钱随人走”实施路径；</w:t>
      </w:r>
    </w:p>
    <w:p w14:paraId="585AC5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（3）提出加大教育投入强度的新举措；</w:t>
      </w:r>
    </w:p>
    <w:p w14:paraId="0E5714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（4）提出优化教育经费支出结构的办法；</w:t>
      </w:r>
    </w:p>
    <w:p w14:paraId="787557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（5）设计贯穿全生命周期的教育预算绩效管理体系。</w:t>
      </w:r>
    </w:p>
    <w:p w14:paraId="47D40C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十九、港澳高等教育融入教育强国建设的政策与路径研究</w:t>
      </w:r>
    </w:p>
    <w:p w14:paraId="7C1129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2"/>
          <w:szCs w:val="24"/>
          <w:lang w:val="en-US" w:eastAsia="zh-CN" w:bidi="ar-SA"/>
        </w:rPr>
        <w:t>指南意图：</w:t>
      </w:r>
    </w:p>
    <w:p w14:paraId="50E840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（1）评估港澳高等教育发展现状；</w:t>
      </w:r>
    </w:p>
    <w:p w14:paraId="06FC94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（2）探究破除融入制度型障碍的政策体系，重点研究科研要素跨境流动、教育认证衔接及重大科技攻关参与机制；</w:t>
      </w:r>
    </w:p>
    <w:p w14:paraId="024354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（3）研究粤港澳高等教育协同发展的长效机制；</w:t>
      </w:r>
    </w:p>
    <w:p w14:paraId="266C48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（4）提出港澳高等教育融入教育强国建设的阶段性演进路径。</w:t>
      </w:r>
    </w:p>
    <w:p w14:paraId="4C0A38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二十、国际组织人才培养长效机制研究</w:t>
      </w:r>
    </w:p>
    <w:p w14:paraId="0DA151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</w:pPr>
      <w:r>
        <w:rPr>
          <w:rFonts w:hint="eastAsia" w:ascii="楷体" w:hAnsi="楷体" w:eastAsia="楷体" w:cs="楷体"/>
          <w:kern w:val="2"/>
          <w:sz w:val="32"/>
          <w:szCs w:val="24"/>
          <w:lang w:val="en-US" w:eastAsia="zh-CN" w:bidi="ar-SA"/>
        </w:rPr>
        <w:t>指南意图：</w:t>
      </w:r>
    </w:p>
    <w:p w14:paraId="7A4E6D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（1）开展中国参与全球教育治理的影响力评估；</w:t>
      </w:r>
    </w:p>
    <w:p w14:paraId="474DC4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（2）系统分析当前我国国际组织人才培养推送的现状与问题；</w:t>
      </w:r>
    </w:p>
    <w:p w14:paraId="493902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（3）研究主要发达国家国际组织人才培养推送做法和经验；</w:t>
      </w:r>
    </w:p>
    <w:p w14:paraId="19BA76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（4）提出我国加强和改进国际组织人才培养推送的系统化方案。</w:t>
      </w:r>
    </w:p>
    <w:p w14:paraId="3154F7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二十一、2030后全球教育议程中国方案研究</w:t>
      </w:r>
    </w:p>
    <w:p w14:paraId="117BCC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</w:pPr>
      <w:r>
        <w:rPr>
          <w:rFonts w:hint="eastAsia" w:ascii="楷体" w:hAnsi="楷体" w:eastAsia="楷体" w:cs="楷体"/>
          <w:kern w:val="2"/>
          <w:sz w:val="32"/>
          <w:szCs w:val="24"/>
          <w:lang w:val="en-US" w:eastAsia="zh-CN" w:bidi="ar-SA"/>
        </w:rPr>
        <w:t>指南意图：</w:t>
      </w:r>
    </w:p>
    <w:p w14:paraId="21B662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（1）研判2030后全球教育发展方向与治理格局变化；</w:t>
      </w:r>
    </w:p>
    <w:p w14:paraId="33E097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（2）提出确立2030后全球教育议程的基本原则、优先事项和发展目标；</w:t>
      </w:r>
    </w:p>
    <w:p w14:paraId="2FADE6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（3）构建融合中国特色与国际共识的2030后全球教育议程框架、磋商机制与实施路径；</w:t>
      </w:r>
    </w:p>
    <w:p w14:paraId="458DFF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（4）剖析联合国教科文组织等国际组织的运行机制，探索中国深度参与并引领全球教育治理的战略支撑点。</w:t>
      </w:r>
    </w:p>
    <w:p w14:paraId="57014E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二十二、学科谱系下中国教育学自主知识体系建构研究</w:t>
      </w:r>
    </w:p>
    <w:p w14:paraId="1F1F81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楷体" w:hAnsi="楷体" w:eastAsia="楷体" w:cs="楷体"/>
          <w:kern w:val="2"/>
          <w:sz w:val="32"/>
          <w:szCs w:val="24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2"/>
          <w:szCs w:val="24"/>
          <w:lang w:val="en-US" w:eastAsia="zh-CN" w:bidi="ar-SA"/>
        </w:rPr>
        <w:t>指南意图：</w:t>
      </w:r>
    </w:p>
    <w:p w14:paraId="0F36B9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（1）梳理教育学与相关学科的知识互动史；</w:t>
      </w:r>
    </w:p>
    <w:p w14:paraId="73B7F6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（2）选择文理10个学科，诊断学科建设中的教育学知识应用情况；</w:t>
      </w:r>
    </w:p>
    <w:p w14:paraId="794BF2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（3）开展跨学科教育学知识供给需求调查；</w:t>
      </w:r>
    </w:p>
    <w:p w14:paraId="668811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（4）梳理哲学社会科学自主知识体系建构主要做法和经验；</w:t>
      </w:r>
    </w:p>
    <w:p w14:paraId="5620CB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（5）凝练中国教育学原创性理论；</w:t>
      </w:r>
    </w:p>
    <w:p w14:paraId="46633B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楷体" w:hAnsi="楷体" w:eastAsia="楷体" w:cs="楷体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24"/>
          <w:lang w:val="en-US" w:eastAsia="zh-CN" w:bidi="ar-SA"/>
        </w:rPr>
        <w:t>（6）探析世界范围内教育学发展趋势。</w:t>
      </w:r>
    </w:p>
    <w:p w14:paraId="7FC949C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385EEC5-5EB0-4BB3-9F45-ABB2CD6393FE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42336443-5F17-46C8-8D40-206884CE77F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4684B4B7-AAFD-45B8-B1B9-D542F3702868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4" w:fontKey="{2ADA73F4-C147-4090-8E5C-A3C6887598C3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89067F28-2B46-42DB-8C52-87C5D9E16F74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FD907B"/>
    <w:multiLevelType w:val="singleLevel"/>
    <w:tmpl w:val="B9FD907B"/>
    <w:lvl w:ilvl="0" w:tentative="0">
      <w:start w:val="4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1A0330"/>
    <w:rsid w:val="621A0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2026-06-03T03:58:00Z</dcterms:created>
  <dc:creator>张征</dc:creator>
  <cp:lastModifiedBy>张征</cp:lastModifiedBy>
  <dcterms:modified xsi:type="dcterms:W3CDTF">2026-06-03T03:59:17Z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00131323184B4B5FA2127A1607BA6F23_11</vt:lpwstr>
  </property>
  <property fmtid="{D5CDD505-2E9C-101B-9397-08002B2CF9AE}" pid="4" name="KSOTemplateDocerSaveRecord">
    <vt:lpwstr>eyJoZGlkIjoiYmVmY2JhZWJjMTQzYmRiNTlkNzUxZjE0OGM1M2IzMDMiLCJ1c2VySWQiOiI0NzkwMjc4NjMifQ==</vt:lpwstr>
  </property>
</Properties>
</file>