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0D5DE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公文小标宋" w:hAnsi="方正公文小标宋" w:eastAsia="方正公文小标宋" w:cs="方正公文小标宋"/>
          <w:sz w:val="44"/>
          <w:szCs w:val="36"/>
          <w:lang w:val="en-US" w:eastAsia="zh-CN"/>
        </w:rPr>
      </w:pPr>
      <w:r>
        <w:rPr>
          <w:rFonts w:hint="eastAsia" w:ascii="方正公文小标宋" w:hAnsi="方正公文小标宋" w:eastAsia="方正公文小标宋" w:cs="方正公文小标宋"/>
          <w:sz w:val="44"/>
          <w:szCs w:val="36"/>
          <w:lang w:val="en-US" w:eastAsia="zh-CN"/>
        </w:rPr>
        <w:t>2026年全国教育科学规划中国教育法治与全球教育治理研究专项指南</w:t>
      </w:r>
    </w:p>
    <w:p w14:paraId="35272092">
      <w:pPr>
        <w:rPr>
          <w:rFonts w:hint="eastAsia" w:ascii="仿宋" w:hAnsi="仿宋" w:eastAsia="仿宋" w:cs="仿宋"/>
          <w:sz w:val="32"/>
          <w:szCs w:val="32"/>
        </w:rPr>
      </w:pPr>
    </w:p>
    <w:p w14:paraId="1DD1ACD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Calibri" w:hAnsi="Calibri" w:eastAsia="仿宋" w:cs="Times New Roman"/>
          <w:sz w:val="32"/>
          <w:lang w:val="en-US" w:eastAsia="zh-CN"/>
        </w:rPr>
      </w:pPr>
      <w:r>
        <w:rPr>
          <w:rFonts w:hint="eastAsia" w:ascii="Calibri" w:hAnsi="Calibri" w:eastAsia="仿宋" w:cs="Times New Roman"/>
          <w:sz w:val="32"/>
          <w:lang w:val="en-US" w:eastAsia="zh-CN"/>
        </w:rPr>
        <w:t>中国教育法治与全球教育治理研究专项包括重大、重点、一般和培育项目。申报重大项目、重点项目、一般项目必须从相应条目中选择，并按照指南意图进行研究设计，自拟选题不予受理。培育项目如确有需要，可对选题进行适当微调，但</w:t>
      </w:r>
      <w:r>
        <w:rPr>
          <w:rFonts w:hint="eastAsia" w:ascii="仿宋" w:hAnsi="仿宋" w:eastAsia="仿宋" w:cs="仿宋"/>
          <w:sz w:val="32"/>
          <w:lang w:val="en-US" w:eastAsia="zh-CN"/>
        </w:rPr>
        <w:t>不得大幅压缩或改变研究内容，必须与专项研究领域密切相关。研究期限为2—3年，不得延期。每个选题原则上只确立1个立项项目。</w:t>
      </w:r>
    </w:p>
    <w:p w14:paraId="31DEB9A2">
      <w:pPr>
        <w:numPr>
          <w:ilvl w:val="0"/>
          <w:numId w:val="1"/>
        </w:numPr>
        <w:ind w:firstLine="640" w:firstLineChars="200"/>
        <w:rPr>
          <w:rFonts w:hint="eastAsia" w:ascii="黑体" w:hAnsi="黑体" w:eastAsia="黑体" w:cs="黑体"/>
          <w:sz w:val="32"/>
          <w:szCs w:val="32"/>
        </w:rPr>
      </w:pPr>
      <w:r>
        <w:rPr>
          <w:rFonts w:hint="eastAsia" w:ascii="黑体" w:hAnsi="黑体" w:eastAsia="黑体" w:cs="黑体"/>
          <w:sz w:val="32"/>
          <w:szCs w:val="32"/>
        </w:rPr>
        <w:t>教育法典编纂研究（重大）</w:t>
      </w:r>
    </w:p>
    <w:p w14:paraId="40788C47">
      <w:pPr>
        <w:numPr>
          <w:numId w:val="0"/>
        </w:numPr>
        <w:ind w:firstLine="640" w:firstLineChars="200"/>
        <w:rPr>
          <w:rFonts w:hint="eastAsia" w:ascii="Calibri" w:hAnsi="Calibri" w:eastAsia="仿宋" w:cs="Times New Roman"/>
          <w:sz w:val="32"/>
          <w:lang w:val="en-US" w:eastAsia="zh-CN"/>
        </w:rPr>
      </w:pPr>
      <w:r>
        <w:rPr>
          <w:rFonts w:hint="eastAsia" w:ascii="楷体" w:hAnsi="楷体" w:eastAsia="楷体" w:cs="楷体"/>
          <w:sz w:val="32"/>
          <w:szCs w:val="32"/>
        </w:rPr>
        <w:t>指南意图</w:t>
      </w:r>
    </w:p>
    <w:p w14:paraId="2DFDAD6C">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 w:hAnsi="仿宋" w:eastAsia="仿宋" w:cs="仿宋"/>
          <w:b/>
          <w:bCs/>
          <w:sz w:val="32"/>
          <w:lang w:val="en-US" w:eastAsia="zh-CN"/>
        </w:rPr>
      </w:pPr>
      <w:r>
        <w:rPr>
          <w:rFonts w:hint="eastAsia" w:ascii="仿宋" w:hAnsi="仿宋" w:eastAsia="仿宋" w:cs="仿宋"/>
          <w:b/>
          <w:bCs/>
          <w:sz w:val="32"/>
          <w:lang w:val="en-US" w:eastAsia="zh-CN"/>
        </w:rPr>
        <w:t>1.习近平总书记关于教育的重要论述的法律化表达</w:t>
      </w:r>
    </w:p>
    <w:p w14:paraId="3DF1489D">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Calibri" w:hAnsi="Calibri" w:eastAsia="仿宋" w:cs="Times New Roman"/>
          <w:b/>
          <w:bCs/>
          <w:sz w:val="32"/>
          <w:lang w:val="en-US" w:eastAsia="zh-CN"/>
        </w:rPr>
      </w:pPr>
      <w:r>
        <w:rPr>
          <w:rFonts w:hint="eastAsia" w:ascii="Calibri" w:hAnsi="Calibri" w:eastAsia="仿宋" w:cs="Times New Roman"/>
          <w:b/>
          <w:bCs/>
          <w:sz w:val="32"/>
          <w:lang w:val="en-US" w:eastAsia="zh-CN"/>
        </w:rPr>
        <w:t>主要任务：</w:t>
      </w:r>
    </w:p>
    <w:p w14:paraId="42976F7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Calibri" w:hAnsi="Calibri" w:eastAsia="仿宋" w:cs="Times New Roman"/>
          <w:sz w:val="32"/>
          <w:lang w:val="en-US" w:eastAsia="zh-CN"/>
        </w:rPr>
      </w:pPr>
      <w:r>
        <w:rPr>
          <w:rFonts w:hint="eastAsia" w:ascii="Calibri" w:hAnsi="Calibri" w:eastAsia="仿宋" w:cs="Times New Roman"/>
          <w:sz w:val="32"/>
          <w:lang w:val="en-US" w:eastAsia="zh-CN"/>
        </w:rPr>
        <w:t>研究将习近平总书记关于教育的重要论述在教育法典中制度化、法律化表达的路径方案。</w:t>
      </w:r>
    </w:p>
    <w:p w14:paraId="1A08A91B">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Calibri" w:hAnsi="Calibri" w:eastAsia="仿宋" w:cs="Times New Roman"/>
          <w:b/>
          <w:bCs/>
          <w:sz w:val="32"/>
          <w:lang w:val="en-US" w:eastAsia="zh-CN"/>
        </w:rPr>
      </w:pPr>
      <w:r>
        <w:rPr>
          <w:rFonts w:hint="eastAsia" w:ascii="Calibri" w:hAnsi="Calibri" w:eastAsia="仿宋" w:cs="Times New Roman"/>
          <w:b/>
          <w:bCs/>
          <w:sz w:val="32"/>
          <w:lang w:val="en-US" w:eastAsia="zh-CN"/>
        </w:rPr>
        <w:t>具体方向：</w:t>
      </w:r>
    </w:p>
    <w:p w14:paraId="377B2C0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Calibri" w:hAnsi="Calibri" w:eastAsia="仿宋" w:cs="Times New Roman"/>
          <w:sz w:val="32"/>
          <w:lang w:val="en-US" w:eastAsia="zh-CN"/>
        </w:rPr>
      </w:pPr>
      <w:r>
        <w:rPr>
          <w:rFonts w:hint="eastAsia" w:ascii="仿宋" w:hAnsi="仿宋" w:eastAsia="仿宋" w:cs="仿宋"/>
          <w:sz w:val="32"/>
          <w:lang w:val="en-US" w:eastAsia="zh-CN"/>
        </w:rPr>
        <w:t>·</w:t>
      </w:r>
      <w:r>
        <w:rPr>
          <w:rFonts w:hint="eastAsia" w:ascii="Calibri" w:hAnsi="Calibri" w:eastAsia="仿宋" w:cs="Times New Roman"/>
          <w:sz w:val="32"/>
          <w:lang w:val="en-US" w:eastAsia="zh-CN"/>
        </w:rPr>
        <w:t>研究如何将党对教育工作全面领导以及“立德树人”根本要求转化为法律规范；</w:t>
      </w:r>
    </w:p>
    <w:p w14:paraId="499C0E3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Calibri" w:hAnsi="Calibri" w:eastAsia="仿宋" w:cs="Times New Roman"/>
          <w:sz w:val="32"/>
          <w:lang w:val="en-US" w:eastAsia="zh-CN"/>
        </w:rPr>
      </w:pPr>
      <w:r>
        <w:rPr>
          <w:rFonts w:hint="eastAsia" w:ascii="仿宋" w:hAnsi="仿宋" w:eastAsia="仿宋" w:cs="仿宋"/>
          <w:sz w:val="32"/>
          <w:lang w:val="en-US" w:eastAsia="zh-CN"/>
        </w:rPr>
        <w:t>·</w:t>
      </w:r>
      <w:r>
        <w:rPr>
          <w:rFonts w:hint="eastAsia" w:ascii="Calibri" w:hAnsi="Calibri" w:eastAsia="仿宋" w:cs="Times New Roman"/>
          <w:sz w:val="32"/>
          <w:lang w:val="en-US" w:eastAsia="zh-CN"/>
        </w:rPr>
        <w:t>研究如何将“九个坚持”核心要义转化为教育法典的基本原则或条款，形成贯穿法典的政治主线；</w:t>
      </w:r>
    </w:p>
    <w:p w14:paraId="31CB2CE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Calibri" w:hAnsi="Calibri" w:eastAsia="仿宋" w:cs="Times New Roman"/>
          <w:sz w:val="32"/>
          <w:lang w:val="en-US" w:eastAsia="zh-CN"/>
        </w:rPr>
      </w:pPr>
      <w:r>
        <w:rPr>
          <w:rFonts w:hint="eastAsia" w:ascii="仿宋" w:hAnsi="仿宋" w:eastAsia="仿宋" w:cs="仿宋"/>
          <w:sz w:val="32"/>
          <w:lang w:val="en-US" w:eastAsia="zh-CN"/>
        </w:rPr>
        <w:t>·</w:t>
      </w:r>
      <w:r>
        <w:rPr>
          <w:rFonts w:hint="eastAsia" w:ascii="Calibri" w:hAnsi="Calibri" w:eastAsia="仿宋" w:cs="Times New Roman"/>
          <w:sz w:val="32"/>
          <w:lang w:val="en-US" w:eastAsia="zh-CN"/>
        </w:rPr>
        <w:t>研究如何将建设教育强国的“五大关系”“六大特征”“八大体系”“九大任务”转化为教育法典具体规定；</w:t>
      </w:r>
    </w:p>
    <w:p w14:paraId="5424BA2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Calibri" w:hAnsi="Calibri" w:eastAsia="仿宋" w:cs="Times New Roman"/>
          <w:sz w:val="32"/>
          <w:lang w:val="en-US" w:eastAsia="zh-CN"/>
        </w:rPr>
      </w:pPr>
      <w:r>
        <w:rPr>
          <w:rFonts w:hint="eastAsia" w:ascii="仿宋" w:hAnsi="仿宋" w:eastAsia="仿宋" w:cs="仿宋"/>
          <w:sz w:val="32"/>
          <w:lang w:val="en-US" w:eastAsia="zh-CN"/>
        </w:rPr>
        <w:t>·</w:t>
      </w:r>
      <w:r>
        <w:rPr>
          <w:rFonts w:hint="eastAsia" w:ascii="Calibri" w:hAnsi="Calibri" w:eastAsia="仿宋" w:cs="Times New Roman"/>
          <w:sz w:val="32"/>
          <w:lang w:val="en-US" w:eastAsia="zh-CN"/>
        </w:rPr>
        <w:t>系统梳理习近平总书记关于教育的重要论述各方面并研究将其法律化表达的路径方案。</w:t>
      </w:r>
    </w:p>
    <w:p w14:paraId="5AFC6D60">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 w:hAnsi="仿宋" w:eastAsia="仿宋" w:cs="仿宋"/>
          <w:b/>
          <w:bCs/>
          <w:sz w:val="32"/>
          <w:lang w:val="en-US" w:eastAsia="zh-CN"/>
        </w:rPr>
      </w:pPr>
      <w:r>
        <w:rPr>
          <w:rFonts w:hint="eastAsia" w:ascii="仿宋" w:hAnsi="仿宋" w:eastAsia="仿宋" w:cs="仿宋"/>
          <w:b/>
          <w:bCs/>
          <w:sz w:val="32"/>
          <w:lang w:val="en-US" w:eastAsia="zh-CN"/>
        </w:rPr>
        <w:t>2.教育法基础理论与法律关系研究</w:t>
      </w:r>
    </w:p>
    <w:p w14:paraId="2A13767F">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 w:hAnsi="仿宋" w:eastAsia="仿宋" w:cs="仿宋"/>
          <w:b/>
          <w:bCs/>
          <w:sz w:val="32"/>
          <w:lang w:val="en-US" w:eastAsia="zh-CN"/>
        </w:rPr>
      </w:pPr>
      <w:r>
        <w:rPr>
          <w:rFonts w:hint="eastAsia" w:ascii="仿宋" w:hAnsi="仿宋" w:eastAsia="仿宋" w:cs="仿宋"/>
          <w:b/>
          <w:bCs/>
          <w:sz w:val="32"/>
          <w:lang w:val="en-US" w:eastAsia="zh-CN"/>
        </w:rPr>
        <w:t>主要任务：</w:t>
      </w:r>
    </w:p>
    <w:p w14:paraId="593773B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sz w:val="32"/>
          <w:lang w:val="en-US" w:eastAsia="zh-CN"/>
        </w:rPr>
      </w:pPr>
      <w:r>
        <w:rPr>
          <w:rFonts w:hint="eastAsia" w:ascii="仿宋" w:hAnsi="仿宋" w:eastAsia="仿宋" w:cs="仿宋"/>
          <w:sz w:val="32"/>
          <w:lang w:val="en-US" w:eastAsia="zh-CN"/>
        </w:rPr>
        <w:t>夯实教育法典的理论基石。</w:t>
      </w:r>
    </w:p>
    <w:p w14:paraId="2725A8B6">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 w:hAnsi="仿宋" w:eastAsia="仿宋" w:cs="仿宋"/>
          <w:b/>
          <w:bCs/>
          <w:sz w:val="32"/>
          <w:lang w:val="en-US" w:eastAsia="zh-CN"/>
        </w:rPr>
      </w:pPr>
      <w:r>
        <w:rPr>
          <w:rFonts w:hint="eastAsia" w:ascii="仿宋" w:hAnsi="仿宋" w:eastAsia="仿宋" w:cs="仿宋"/>
          <w:b/>
          <w:bCs/>
          <w:sz w:val="32"/>
          <w:lang w:val="en-US" w:eastAsia="zh-CN"/>
        </w:rPr>
        <w:t>具体方向：</w:t>
      </w:r>
    </w:p>
    <w:p w14:paraId="752F6F1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sz w:val="32"/>
          <w:lang w:val="en-US" w:eastAsia="zh-CN"/>
        </w:rPr>
      </w:pPr>
      <w:r>
        <w:rPr>
          <w:rFonts w:hint="eastAsia" w:ascii="仿宋" w:hAnsi="仿宋" w:eastAsia="仿宋" w:cs="仿宋"/>
          <w:sz w:val="32"/>
          <w:lang w:val="en-US" w:eastAsia="zh-CN"/>
        </w:rPr>
        <w:t>·深入辨析教育法的基本法律概念的内涵与外延；</w:t>
      </w:r>
    </w:p>
    <w:p w14:paraId="5DE06F0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sz w:val="32"/>
          <w:lang w:val="en-US" w:eastAsia="zh-CN"/>
        </w:rPr>
      </w:pPr>
      <w:r>
        <w:rPr>
          <w:rFonts w:hint="eastAsia" w:ascii="仿宋" w:hAnsi="仿宋" w:eastAsia="仿宋" w:cs="仿宋"/>
          <w:sz w:val="32"/>
          <w:lang w:val="en-US" w:eastAsia="zh-CN"/>
        </w:rPr>
        <w:t>·厘清教育法与宪法、民法典、行政法及其他部门法的联系与区别；</w:t>
      </w:r>
    </w:p>
    <w:p w14:paraId="35B0D43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sz w:val="32"/>
          <w:lang w:val="en-US" w:eastAsia="zh-CN"/>
        </w:rPr>
      </w:pPr>
      <w:r>
        <w:rPr>
          <w:rFonts w:hint="eastAsia" w:ascii="仿宋" w:hAnsi="仿宋" w:eastAsia="仿宋" w:cs="仿宋"/>
          <w:sz w:val="32"/>
          <w:lang w:val="en-US" w:eastAsia="zh-CN"/>
        </w:rPr>
        <w:t>·探讨教育法典在国家法律体系中的独立地位与功能定位；</w:t>
      </w:r>
    </w:p>
    <w:p w14:paraId="58A8565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Calibri" w:hAnsi="Calibri" w:eastAsia="仿宋" w:cs="Times New Roman"/>
          <w:sz w:val="32"/>
          <w:lang w:val="en-US" w:eastAsia="zh-CN"/>
        </w:rPr>
      </w:pPr>
      <w:r>
        <w:rPr>
          <w:rFonts w:hint="eastAsia" w:ascii="仿宋" w:hAnsi="仿宋" w:eastAsia="仿宋" w:cs="仿宋"/>
          <w:sz w:val="32"/>
          <w:lang w:val="en-US" w:eastAsia="zh-CN"/>
        </w:rPr>
        <w:t>·其他与构建教育法理论体系有</w:t>
      </w:r>
      <w:r>
        <w:rPr>
          <w:rFonts w:hint="eastAsia" w:ascii="Calibri" w:hAnsi="Calibri" w:eastAsia="仿宋" w:cs="Times New Roman"/>
          <w:sz w:val="32"/>
          <w:lang w:val="en-US" w:eastAsia="zh-CN"/>
        </w:rPr>
        <w:t>关的重要问题。</w:t>
      </w:r>
    </w:p>
    <w:p w14:paraId="5030A951">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 w:hAnsi="仿宋" w:eastAsia="仿宋" w:cs="仿宋"/>
          <w:b/>
          <w:bCs/>
          <w:sz w:val="32"/>
          <w:lang w:val="en-US" w:eastAsia="zh-CN"/>
        </w:rPr>
      </w:pPr>
      <w:r>
        <w:rPr>
          <w:rFonts w:hint="eastAsia" w:ascii="仿宋" w:hAnsi="仿宋" w:eastAsia="仿宋" w:cs="仿宋"/>
          <w:b/>
          <w:bCs/>
          <w:sz w:val="32"/>
          <w:lang w:val="en-US" w:eastAsia="zh-CN"/>
        </w:rPr>
        <w:t>3.各国教育法学主要学者及经典著作译介与研究</w:t>
      </w:r>
    </w:p>
    <w:p w14:paraId="093D9E41">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 w:hAnsi="仿宋" w:eastAsia="仿宋" w:cs="仿宋"/>
          <w:b/>
          <w:bCs/>
          <w:sz w:val="32"/>
          <w:lang w:val="en-US" w:eastAsia="zh-CN"/>
        </w:rPr>
      </w:pPr>
      <w:r>
        <w:rPr>
          <w:rFonts w:hint="eastAsia" w:ascii="仿宋" w:hAnsi="仿宋" w:eastAsia="仿宋" w:cs="仿宋"/>
          <w:b/>
          <w:bCs/>
          <w:sz w:val="32"/>
          <w:lang w:val="en-US" w:eastAsia="zh-CN"/>
        </w:rPr>
        <w:t>主要任务：</w:t>
      </w:r>
    </w:p>
    <w:p w14:paraId="00D9F96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sz w:val="32"/>
          <w:lang w:val="en-US" w:eastAsia="zh-CN"/>
        </w:rPr>
      </w:pPr>
      <w:r>
        <w:rPr>
          <w:rFonts w:hint="eastAsia" w:ascii="仿宋" w:hAnsi="仿宋" w:eastAsia="仿宋" w:cs="仿宋"/>
          <w:sz w:val="32"/>
          <w:lang w:val="en-US" w:eastAsia="zh-CN"/>
        </w:rPr>
        <w:t>系统介绍全球教育法学具有代表性的学术成果，拓宽法典编纂的国际视野，为中国教育法典提供比较法资源与经验镜鉴，推动域外优秀教育法学的本土化转化。</w:t>
      </w:r>
    </w:p>
    <w:p w14:paraId="11DF964F">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 w:hAnsi="仿宋" w:eastAsia="仿宋" w:cs="仿宋"/>
          <w:b/>
          <w:bCs/>
          <w:sz w:val="32"/>
          <w:lang w:val="en-US" w:eastAsia="zh-CN"/>
        </w:rPr>
      </w:pPr>
      <w:r>
        <w:rPr>
          <w:rFonts w:hint="eastAsia" w:ascii="仿宋" w:hAnsi="仿宋" w:eastAsia="仿宋" w:cs="仿宋"/>
          <w:b/>
          <w:bCs/>
          <w:sz w:val="32"/>
          <w:lang w:val="en-US" w:eastAsia="zh-CN"/>
        </w:rPr>
        <w:t>具体方向：</w:t>
      </w:r>
    </w:p>
    <w:p w14:paraId="497F2DB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Calibri" w:hAnsi="Calibri" w:eastAsia="仿宋" w:cs="Times New Roman"/>
          <w:sz w:val="32"/>
          <w:lang w:val="en-US" w:eastAsia="zh-CN"/>
        </w:rPr>
      </w:pPr>
      <w:r>
        <w:rPr>
          <w:rFonts w:hint="eastAsia" w:ascii="仿宋" w:hAnsi="仿宋" w:eastAsia="仿宋" w:cs="仿宋"/>
          <w:sz w:val="32"/>
          <w:lang w:val="en-US" w:eastAsia="zh-CN"/>
        </w:rPr>
        <w:t>·</w:t>
      </w:r>
      <w:r>
        <w:rPr>
          <w:rFonts w:hint="eastAsia" w:ascii="Calibri" w:hAnsi="Calibri" w:eastAsia="仿宋" w:cs="Times New Roman"/>
          <w:sz w:val="32"/>
          <w:lang w:val="en-US" w:eastAsia="zh-CN"/>
        </w:rPr>
        <w:t>国际知名教育法学者学术思想体系研究，梳理各国权威教育法学者的学术观点，形成专门的评述与研究报告，挖掘其对现代教育法治的理论贡献；</w:t>
      </w:r>
    </w:p>
    <w:p w14:paraId="4759545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Calibri" w:hAnsi="Calibri" w:eastAsia="仿宋" w:cs="Times New Roman"/>
          <w:sz w:val="32"/>
          <w:lang w:val="en-US" w:eastAsia="zh-CN"/>
        </w:rPr>
      </w:pPr>
      <w:r>
        <w:rPr>
          <w:rFonts w:hint="eastAsia" w:ascii="仿宋" w:hAnsi="仿宋" w:eastAsia="仿宋" w:cs="仿宋"/>
          <w:sz w:val="32"/>
          <w:lang w:val="en-US" w:eastAsia="zh-CN"/>
        </w:rPr>
        <w:t>·</w:t>
      </w:r>
      <w:r>
        <w:rPr>
          <w:rFonts w:hint="eastAsia" w:ascii="Calibri" w:hAnsi="Calibri" w:eastAsia="仿宋" w:cs="Times New Roman"/>
          <w:sz w:val="32"/>
          <w:lang w:val="en-US" w:eastAsia="zh-CN"/>
        </w:rPr>
        <w:t>核心法律概念的比较法溯源与辨析，追踪教育法核心概念在不同法域的起源、演变及解释；</w:t>
      </w:r>
    </w:p>
    <w:p w14:paraId="58913DA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Calibri" w:hAnsi="Calibri" w:eastAsia="仿宋" w:cs="Times New Roman"/>
          <w:sz w:val="32"/>
          <w:lang w:val="en-US" w:eastAsia="zh-CN"/>
        </w:rPr>
      </w:pPr>
      <w:r>
        <w:rPr>
          <w:rFonts w:hint="eastAsia" w:ascii="仿宋" w:hAnsi="仿宋" w:eastAsia="仿宋" w:cs="仿宋"/>
          <w:sz w:val="32"/>
          <w:lang w:val="en-US" w:eastAsia="zh-CN"/>
        </w:rPr>
        <w:t>·</w:t>
      </w:r>
      <w:r>
        <w:rPr>
          <w:rFonts w:hint="eastAsia" w:ascii="Calibri" w:hAnsi="Calibri" w:eastAsia="仿宋" w:cs="Times New Roman"/>
          <w:sz w:val="32"/>
          <w:lang w:val="en-US" w:eastAsia="zh-CN"/>
        </w:rPr>
        <w:t>域外教育法典化的历史与经验研究，研究主要国家教育法典的编纂历程、体例结构及修法机制，分析编纂过程中的争议焦点、妥协方案及失败教训；</w:t>
      </w:r>
    </w:p>
    <w:p w14:paraId="528A25D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Calibri" w:hAnsi="Calibri" w:eastAsia="仿宋" w:cs="Times New Roman"/>
          <w:sz w:val="32"/>
          <w:lang w:val="en-US" w:eastAsia="zh-CN"/>
        </w:rPr>
      </w:pPr>
      <w:r>
        <w:rPr>
          <w:rFonts w:hint="eastAsia" w:ascii="仿宋" w:hAnsi="仿宋" w:eastAsia="仿宋" w:cs="仿宋"/>
          <w:sz w:val="32"/>
          <w:lang w:val="en-US" w:eastAsia="zh-CN"/>
        </w:rPr>
        <w:t>·</w:t>
      </w:r>
      <w:r>
        <w:rPr>
          <w:rFonts w:hint="eastAsia" w:ascii="Calibri" w:hAnsi="Calibri" w:eastAsia="仿宋" w:cs="Times New Roman"/>
          <w:sz w:val="32"/>
          <w:lang w:val="en-US" w:eastAsia="zh-CN"/>
        </w:rPr>
        <w:t>其他与全球教育法学研究有关的重要问题。</w:t>
      </w:r>
    </w:p>
    <w:p w14:paraId="64509BC4">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 w:hAnsi="仿宋" w:eastAsia="仿宋" w:cs="仿宋"/>
          <w:b/>
          <w:bCs/>
          <w:sz w:val="32"/>
          <w:lang w:val="en-US" w:eastAsia="zh-CN"/>
        </w:rPr>
      </w:pPr>
      <w:r>
        <w:rPr>
          <w:rFonts w:hint="eastAsia" w:ascii="仿宋" w:hAnsi="仿宋" w:eastAsia="仿宋" w:cs="仿宋"/>
          <w:b/>
          <w:bCs/>
          <w:sz w:val="32"/>
          <w:lang w:val="en-US" w:eastAsia="zh-CN"/>
        </w:rPr>
        <w:t>4.教育法典的编纂体例与逻辑体系研究</w:t>
      </w:r>
    </w:p>
    <w:p w14:paraId="7E6BC75F">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 w:hAnsi="仿宋" w:eastAsia="仿宋" w:cs="仿宋"/>
          <w:b/>
          <w:bCs/>
          <w:sz w:val="32"/>
          <w:lang w:val="en-US" w:eastAsia="zh-CN"/>
        </w:rPr>
      </w:pPr>
      <w:r>
        <w:rPr>
          <w:rFonts w:hint="eastAsia" w:ascii="仿宋" w:hAnsi="仿宋" w:eastAsia="仿宋" w:cs="仿宋"/>
          <w:b/>
          <w:bCs/>
          <w:sz w:val="32"/>
          <w:lang w:val="en-US" w:eastAsia="zh-CN"/>
        </w:rPr>
        <w:t>主要任务：</w:t>
      </w:r>
    </w:p>
    <w:p w14:paraId="0AF04E3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b w:val="0"/>
          <w:bCs w:val="0"/>
          <w:sz w:val="32"/>
          <w:lang w:val="en-US" w:eastAsia="zh-CN"/>
        </w:rPr>
      </w:pPr>
      <w:r>
        <w:rPr>
          <w:rFonts w:hint="eastAsia" w:ascii="仿宋" w:hAnsi="仿宋" w:eastAsia="仿宋" w:cs="仿宋"/>
          <w:b w:val="0"/>
          <w:bCs w:val="0"/>
          <w:sz w:val="32"/>
          <w:lang w:val="en-US" w:eastAsia="zh-CN"/>
        </w:rPr>
        <w:t>设计科学合理的法典框架。</w:t>
      </w:r>
    </w:p>
    <w:p w14:paraId="0463683F">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Calibri" w:hAnsi="Calibri" w:eastAsia="仿宋" w:cs="Times New Roman"/>
          <w:b/>
          <w:bCs/>
          <w:sz w:val="32"/>
          <w:lang w:val="en-US" w:eastAsia="zh-CN"/>
        </w:rPr>
      </w:pPr>
      <w:r>
        <w:rPr>
          <w:rFonts w:hint="eastAsia" w:ascii="Calibri" w:hAnsi="Calibri" w:eastAsia="仿宋" w:cs="Times New Roman"/>
          <w:b/>
          <w:bCs/>
          <w:sz w:val="32"/>
          <w:lang w:val="en-US" w:eastAsia="zh-CN"/>
        </w:rPr>
        <w:t>具体方向：</w:t>
      </w:r>
    </w:p>
    <w:p w14:paraId="2F32E68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Calibri" w:hAnsi="Calibri" w:eastAsia="仿宋" w:cs="Times New Roman"/>
          <w:sz w:val="32"/>
          <w:lang w:val="en-US" w:eastAsia="zh-CN"/>
        </w:rPr>
      </w:pPr>
      <w:r>
        <w:rPr>
          <w:rFonts w:hint="eastAsia" w:ascii="仿宋" w:hAnsi="仿宋" w:eastAsia="仿宋" w:cs="仿宋"/>
          <w:sz w:val="32"/>
          <w:lang w:val="en-US" w:eastAsia="zh-CN"/>
        </w:rPr>
        <w:t>·</w:t>
      </w:r>
      <w:r>
        <w:rPr>
          <w:rFonts w:hint="eastAsia" w:ascii="Calibri" w:hAnsi="Calibri" w:eastAsia="仿宋" w:cs="Times New Roman"/>
          <w:sz w:val="32"/>
          <w:lang w:val="en-US" w:eastAsia="zh-CN"/>
        </w:rPr>
        <w:t>研究法典的宏观篇章布局；</w:t>
      </w:r>
    </w:p>
    <w:p w14:paraId="39B9278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Calibri" w:hAnsi="Calibri" w:eastAsia="仿宋" w:cs="Times New Roman"/>
          <w:sz w:val="32"/>
          <w:lang w:val="en-US" w:eastAsia="zh-CN"/>
        </w:rPr>
      </w:pPr>
      <w:r>
        <w:rPr>
          <w:rFonts w:hint="eastAsia" w:ascii="仿宋" w:hAnsi="仿宋" w:eastAsia="仿宋" w:cs="仿宋"/>
          <w:sz w:val="32"/>
          <w:lang w:val="en-US" w:eastAsia="zh-CN"/>
        </w:rPr>
        <w:t>·</w:t>
      </w:r>
      <w:r>
        <w:rPr>
          <w:rFonts w:hint="eastAsia" w:ascii="Calibri" w:hAnsi="Calibri" w:eastAsia="仿宋" w:cs="Times New Roman"/>
          <w:sz w:val="32"/>
          <w:lang w:val="en-US" w:eastAsia="zh-CN"/>
        </w:rPr>
        <w:t>攻克“提取公因式”的立法技术难题，科学划分总则与分则的调整范围，确保各编之间逻辑严密、衔接顺畅，避免内容重复或冲突；</w:t>
      </w:r>
    </w:p>
    <w:p w14:paraId="58C8967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Calibri" w:hAnsi="Calibri" w:eastAsia="仿宋" w:cs="Times New Roman"/>
          <w:sz w:val="32"/>
          <w:lang w:val="en-US" w:eastAsia="zh-CN"/>
        </w:rPr>
      </w:pPr>
      <w:r>
        <w:rPr>
          <w:rFonts w:hint="eastAsia" w:ascii="仿宋" w:hAnsi="仿宋" w:eastAsia="仿宋" w:cs="仿宋"/>
          <w:sz w:val="32"/>
          <w:lang w:val="en-US" w:eastAsia="zh-CN"/>
        </w:rPr>
        <w:t>·</w:t>
      </w:r>
      <w:r>
        <w:rPr>
          <w:rFonts w:hint="eastAsia" w:ascii="Calibri" w:hAnsi="Calibri" w:eastAsia="仿宋" w:cs="Times New Roman"/>
          <w:sz w:val="32"/>
          <w:lang w:val="en-US" w:eastAsia="zh-CN"/>
        </w:rPr>
        <w:t>其他与教育法典的编纂体例与逻辑体系有关的重要问题。</w:t>
      </w:r>
    </w:p>
    <w:p w14:paraId="34127FE9">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 w:hAnsi="仿宋" w:eastAsia="仿宋" w:cs="仿宋"/>
          <w:b/>
          <w:bCs/>
          <w:sz w:val="32"/>
          <w:lang w:val="en-US" w:eastAsia="zh-CN"/>
        </w:rPr>
      </w:pPr>
      <w:r>
        <w:rPr>
          <w:rFonts w:hint="eastAsia" w:ascii="仿宋" w:hAnsi="仿宋" w:eastAsia="仿宋" w:cs="仿宋"/>
          <w:b/>
          <w:bCs/>
          <w:sz w:val="32"/>
          <w:lang w:val="en-US" w:eastAsia="zh-CN"/>
        </w:rPr>
        <w:t>5.教育法典总则研究</w:t>
      </w:r>
    </w:p>
    <w:p w14:paraId="6099FC26">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 w:hAnsi="仿宋" w:eastAsia="仿宋" w:cs="仿宋"/>
          <w:b/>
          <w:bCs/>
          <w:sz w:val="32"/>
          <w:lang w:val="en-US" w:eastAsia="zh-CN"/>
        </w:rPr>
      </w:pPr>
      <w:r>
        <w:rPr>
          <w:rFonts w:hint="eastAsia" w:ascii="仿宋" w:hAnsi="仿宋" w:eastAsia="仿宋" w:cs="仿宋"/>
          <w:b/>
          <w:bCs/>
          <w:sz w:val="32"/>
          <w:lang w:val="en-US" w:eastAsia="zh-CN"/>
        </w:rPr>
        <w:t>主要任务：</w:t>
      </w:r>
    </w:p>
    <w:p w14:paraId="2F5CCE2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Calibri" w:hAnsi="Calibri" w:eastAsia="仿宋" w:cs="Times New Roman"/>
          <w:sz w:val="32"/>
          <w:lang w:val="en-US" w:eastAsia="zh-CN"/>
        </w:rPr>
      </w:pPr>
      <w:r>
        <w:rPr>
          <w:rFonts w:hint="eastAsia" w:ascii="Calibri" w:hAnsi="Calibri" w:eastAsia="仿宋" w:cs="Times New Roman"/>
          <w:sz w:val="32"/>
          <w:lang w:val="en-US" w:eastAsia="zh-CN"/>
        </w:rPr>
        <w:t>起草形成教育法典总则专家建议稿。</w:t>
      </w:r>
    </w:p>
    <w:p w14:paraId="18DDF754">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 w:hAnsi="仿宋" w:eastAsia="仿宋" w:cs="仿宋"/>
          <w:b/>
          <w:bCs/>
          <w:sz w:val="32"/>
          <w:lang w:val="en-US" w:eastAsia="zh-CN"/>
        </w:rPr>
      </w:pPr>
      <w:r>
        <w:rPr>
          <w:rFonts w:hint="eastAsia" w:ascii="仿宋" w:hAnsi="仿宋" w:eastAsia="仿宋" w:cs="仿宋"/>
          <w:b/>
          <w:bCs/>
          <w:sz w:val="32"/>
          <w:lang w:val="en-US" w:eastAsia="zh-CN"/>
        </w:rPr>
        <w:t>具体方向：</w:t>
      </w:r>
    </w:p>
    <w:p w14:paraId="45A8299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Calibri" w:hAnsi="Calibri" w:eastAsia="仿宋" w:cs="Times New Roman"/>
          <w:sz w:val="32"/>
          <w:lang w:val="en-US" w:eastAsia="zh-CN"/>
        </w:rPr>
      </w:pPr>
      <w:r>
        <w:rPr>
          <w:rFonts w:hint="eastAsia" w:ascii="仿宋" w:hAnsi="仿宋" w:eastAsia="仿宋" w:cs="仿宋"/>
          <w:sz w:val="32"/>
          <w:lang w:val="en-US" w:eastAsia="zh-CN"/>
        </w:rPr>
        <w:t>·</w:t>
      </w:r>
      <w:r>
        <w:rPr>
          <w:rFonts w:hint="eastAsia" w:ascii="Calibri" w:hAnsi="Calibri" w:eastAsia="仿宋" w:cs="Times New Roman"/>
          <w:sz w:val="32"/>
          <w:lang w:val="en-US" w:eastAsia="zh-CN"/>
        </w:rPr>
        <w:t>对现行有效教育法律、法规及规章中的共性规范进行系统梳理与体系化融合；</w:t>
      </w:r>
    </w:p>
    <w:p w14:paraId="16B9217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Calibri" w:hAnsi="Calibri" w:eastAsia="仿宋" w:cs="Times New Roman"/>
          <w:sz w:val="32"/>
          <w:lang w:val="en-US" w:eastAsia="zh-CN"/>
        </w:rPr>
      </w:pPr>
      <w:r>
        <w:rPr>
          <w:rFonts w:hint="eastAsia" w:ascii="仿宋" w:hAnsi="仿宋" w:eastAsia="仿宋" w:cs="仿宋"/>
          <w:sz w:val="32"/>
          <w:lang w:val="en-US" w:eastAsia="zh-CN"/>
        </w:rPr>
        <w:t>·</w:t>
      </w:r>
      <w:r>
        <w:rPr>
          <w:rFonts w:hint="eastAsia" w:ascii="Calibri" w:hAnsi="Calibri" w:eastAsia="仿宋" w:cs="Times New Roman"/>
          <w:sz w:val="32"/>
          <w:lang w:val="en-US" w:eastAsia="zh-CN"/>
        </w:rPr>
        <w:t>对经过实践检验、成熟稳定的教育改革政策进行法律化提炼；</w:t>
      </w:r>
    </w:p>
    <w:p w14:paraId="678DE30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Calibri" w:hAnsi="Calibri" w:eastAsia="仿宋" w:cs="Times New Roman"/>
          <w:sz w:val="32"/>
          <w:lang w:val="en-US" w:eastAsia="zh-CN"/>
        </w:rPr>
      </w:pPr>
      <w:r>
        <w:rPr>
          <w:rFonts w:hint="eastAsia" w:ascii="仿宋" w:hAnsi="仿宋" w:eastAsia="仿宋" w:cs="仿宋"/>
          <w:sz w:val="32"/>
          <w:lang w:val="en-US" w:eastAsia="zh-CN"/>
        </w:rPr>
        <w:t>·</w:t>
      </w:r>
      <w:r>
        <w:rPr>
          <w:rFonts w:hint="eastAsia" w:ascii="Calibri" w:hAnsi="Calibri" w:eastAsia="仿宋" w:cs="Times New Roman"/>
          <w:sz w:val="32"/>
          <w:lang w:val="en-US" w:eastAsia="zh-CN"/>
        </w:rPr>
        <w:t>针对数字教育、终身学习、全球教育治理等新兴领域或法律空白，进行前瞻性制度设计；</w:t>
      </w:r>
    </w:p>
    <w:p w14:paraId="7190D79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Calibri" w:hAnsi="Calibri" w:eastAsia="仿宋" w:cs="Times New Roman"/>
          <w:sz w:val="32"/>
          <w:lang w:val="en-US" w:eastAsia="zh-CN"/>
        </w:rPr>
      </w:pPr>
      <w:r>
        <w:rPr>
          <w:rFonts w:hint="eastAsia" w:ascii="仿宋" w:hAnsi="仿宋" w:eastAsia="仿宋" w:cs="仿宋"/>
          <w:sz w:val="32"/>
          <w:lang w:val="en-US" w:eastAsia="zh-CN"/>
        </w:rPr>
        <w:t>·</w:t>
      </w:r>
      <w:r>
        <w:rPr>
          <w:rFonts w:hint="eastAsia" w:ascii="Calibri" w:hAnsi="Calibri" w:eastAsia="仿宋" w:cs="Times New Roman"/>
          <w:sz w:val="32"/>
          <w:lang w:val="en-US" w:eastAsia="zh-CN"/>
        </w:rPr>
        <w:t>其他与教育法典总则编纂有关的重要问题。</w:t>
      </w:r>
    </w:p>
    <w:p w14:paraId="1811D74F">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 w:hAnsi="仿宋" w:eastAsia="仿宋" w:cs="仿宋"/>
          <w:b/>
          <w:bCs/>
          <w:sz w:val="32"/>
          <w:lang w:val="en-US" w:eastAsia="zh-CN"/>
        </w:rPr>
      </w:pPr>
      <w:r>
        <w:rPr>
          <w:rFonts w:hint="eastAsia" w:ascii="仿宋" w:hAnsi="仿宋" w:eastAsia="仿宋" w:cs="仿宋"/>
          <w:b/>
          <w:bCs/>
          <w:sz w:val="32"/>
          <w:lang w:val="en-US" w:eastAsia="zh-CN"/>
        </w:rPr>
        <w:t>6.教育法典分则研究</w:t>
      </w:r>
    </w:p>
    <w:p w14:paraId="57579D00">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 w:hAnsi="仿宋" w:eastAsia="仿宋" w:cs="仿宋"/>
          <w:b/>
          <w:bCs/>
          <w:sz w:val="32"/>
          <w:lang w:val="en-US" w:eastAsia="zh-CN"/>
        </w:rPr>
      </w:pPr>
      <w:r>
        <w:rPr>
          <w:rFonts w:hint="eastAsia" w:ascii="仿宋" w:hAnsi="仿宋" w:eastAsia="仿宋" w:cs="仿宋"/>
          <w:b/>
          <w:bCs/>
          <w:sz w:val="32"/>
          <w:lang w:val="en-US" w:eastAsia="zh-CN"/>
        </w:rPr>
        <w:t>主要任务：</w:t>
      </w:r>
    </w:p>
    <w:p w14:paraId="7160BF6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Calibri" w:hAnsi="Calibri" w:eastAsia="仿宋" w:cs="Times New Roman"/>
          <w:sz w:val="32"/>
          <w:lang w:val="en-US" w:eastAsia="zh-CN"/>
        </w:rPr>
      </w:pPr>
      <w:r>
        <w:rPr>
          <w:rFonts w:hint="eastAsia" w:ascii="Calibri" w:hAnsi="Calibri" w:eastAsia="仿宋" w:cs="Times New Roman"/>
          <w:sz w:val="32"/>
          <w:lang w:val="en-US" w:eastAsia="zh-CN"/>
        </w:rPr>
        <w:t>起草形成教育法典分则专家建议稿。</w:t>
      </w:r>
    </w:p>
    <w:p w14:paraId="1C3CE142">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 w:hAnsi="仿宋" w:eastAsia="仿宋" w:cs="仿宋"/>
          <w:b/>
          <w:bCs/>
          <w:sz w:val="32"/>
          <w:lang w:val="en-US" w:eastAsia="zh-CN"/>
        </w:rPr>
      </w:pPr>
      <w:r>
        <w:rPr>
          <w:rFonts w:hint="eastAsia" w:ascii="仿宋" w:hAnsi="仿宋" w:eastAsia="仿宋" w:cs="仿宋"/>
          <w:b/>
          <w:bCs/>
          <w:sz w:val="32"/>
          <w:lang w:val="en-US" w:eastAsia="zh-CN"/>
        </w:rPr>
        <w:t>具体方向：</w:t>
      </w:r>
    </w:p>
    <w:p w14:paraId="7B1E649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Calibri" w:hAnsi="Calibri" w:eastAsia="仿宋" w:cs="Times New Roman"/>
          <w:sz w:val="32"/>
          <w:lang w:val="en-US" w:eastAsia="zh-CN"/>
        </w:rPr>
      </w:pPr>
      <w:r>
        <w:rPr>
          <w:rFonts w:hint="eastAsia" w:ascii="仿宋" w:hAnsi="仿宋" w:eastAsia="仿宋" w:cs="仿宋"/>
          <w:sz w:val="32"/>
          <w:lang w:val="en-US" w:eastAsia="zh-CN"/>
        </w:rPr>
        <w:t>·</w:t>
      </w:r>
      <w:r>
        <w:rPr>
          <w:rFonts w:hint="eastAsia" w:ascii="Calibri" w:hAnsi="Calibri" w:eastAsia="仿宋" w:cs="Times New Roman"/>
          <w:sz w:val="32"/>
          <w:lang w:val="en-US" w:eastAsia="zh-CN"/>
        </w:rPr>
        <w:t>对包括学前教育、基础教育、职业教育、高等教育、终身教育等各阶段教育纵向体系进行系统研究；</w:t>
      </w:r>
    </w:p>
    <w:p w14:paraId="55DFEFD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Calibri" w:hAnsi="Calibri" w:eastAsia="仿宋" w:cs="Times New Roman"/>
          <w:sz w:val="32"/>
          <w:lang w:val="en-US" w:eastAsia="zh-CN"/>
        </w:rPr>
      </w:pPr>
      <w:r>
        <w:rPr>
          <w:rFonts w:hint="eastAsia" w:ascii="仿宋" w:hAnsi="仿宋" w:eastAsia="仿宋" w:cs="仿宋"/>
          <w:sz w:val="32"/>
          <w:lang w:val="en-US" w:eastAsia="zh-CN"/>
        </w:rPr>
        <w:t>·</w:t>
      </w:r>
      <w:r>
        <w:rPr>
          <w:rFonts w:hint="eastAsia" w:ascii="Calibri" w:hAnsi="Calibri" w:eastAsia="仿宋" w:cs="Times New Roman"/>
          <w:sz w:val="32"/>
          <w:lang w:val="en-US" w:eastAsia="zh-CN"/>
        </w:rPr>
        <w:t>对包括民办教育管理、中外合作办学、教育考试招生、学位制度、教师队伍建设等教育横向制度进行系统研究；</w:t>
      </w:r>
    </w:p>
    <w:p w14:paraId="6E45C57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Calibri" w:hAnsi="Calibri" w:eastAsia="仿宋" w:cs="Times New Roman"/>
          <w:sz w:val="32"/>
          <w:lang w:val="en-US" w:eastAsia="zh-CN"/>
        </w:rPr>
      </w:pPr>
      <w:r>
        <w:rPr>
          <w:rFonts w:hint="eastAsia" w:ascii="仿宋" w:hAnsi="仿宋" w:eastAsia="仿宋" w:cs="仿宋"/>
          <w:sz w:val="32"/>
          <w:lang w:val="en-US" w:eastAsia="zh-CN"/>
        </w:rPr>
        <w:t>·</w:t>
      </w:r>
      <w:r>
        <w:rPr>
          <w:rFonts w:hint="eastAsia" w:ascii="Calibri" w:hAnsi="Calibri" w:eastAsia="仿宋" w:cs="Times New Roman"/>
          <w:sz w:val="32"/>
          <w:lang w:val="en-US" w:eastAsia="zh-CN"/>
        </w:rPr>
        <w:t>其他与教育法典分则编纂有关的重要问题。</w:t>
      </w:r>
    </w:p>
    <w:p w14:paraId="73F0D8DA">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 w:hAnsi="仿宋" w:eastAsia="仿宋" w:cs="仿宋"/>
          <w:b/>
          <w:bCs/>
          <w:sz w:val="32"/>
          <w:lang w:val="en-US" w:eastAsia="zh-CN"/>
        </w:rPr>
      </w:pPr>
      <w:r>
        <w:rPr>
          <w:rFonts w:hint="eastAsia" w:ascii="仿宋" w:hAnsi="仿宋" w:eastAsia="仿宋" w:cs="仿宋"/>
          <w:b/>
          <w:bCs/>
          <w:sz w:val="32"/>
          <w:lang w:val="en-US" w:eastAsia="zh-CN"/>
        </w:rPr>
        <w:t>7.教育法典配套机制与实施保障研究</w:t>
      </w:r>
    </w:p>
    <w:p w14:paraId="58C68F01">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 w:hAnsi="仿宋" w:eastAsia="仿宋" w:cs="仿宋"/>
          <w:b/>
          <w:bCs/>
          <w:sz w:val="32"/>
          <w:lang w:val="en-US" w:eastAsia="zh-CN"/>
        </w:rPr>
      </w:pPr>
      <w:r>
        <w:rPr>
          <w:rFonts w:hint="eastAsia" w:ascii="仿宋" w:hAnsi="仿宋" w:eastAsia="仿宋" w:cs="仿宋"/>
          <w:b/>
          <w:bCs/>
          <w:sz w:val="32"/>
          <w:lang w:val="en-US" w:eastAsia="zh-CN"/>
        </w:rPr>
        <w:t>主要任务：</w:t>
      </w:r>
    </w:p>
    <w:p w14:paraId="115A6C6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Calibri" w:hAnsi="Calibri" w:eastAsia="仿宋" w:cs="Times New Roman"/>
          <w:sz w:val="32"/>
          <w:lang w:val="en-US" w:eastAsia="zh-CN"/>
        </w:rPr>
      </w:pPr>
      <w:r>
        <w:rPr>
          <w:rFonts w:hint="eastAsia" w:ascii="Calibri" w:hAnsi="Calibri" w:eastAsia="仿宋" w:cs="Times New Roman"/>
          <w:sz w:val="32"/>
          <w:lang w:val="en-US" w:eastAsia="zh-CN"/>
        </w:rPr>
        <w:t>增强法典的可操作性与强制力。</w:t>
      </w:r>
    </w:p>
    <w:p w14:paraId="08608345">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 w:hAnsi="仿宋" w:eastAsia="仿宋" w:cs="仿宋"/>
          <w:b/>
          <w:bCs/>
          <w:sz w:val="32"/>
          <w:lang w:val="en-US" w:eastAsia="zh-CN"/>
        </w:rPr>
      </w:pPr>
      <w:r>
        <w:rPr>
          <w:rFonts w:hint="eastAsia" w:ascii="仿宋" w:hAnsi="仿宋" w:eastAsia="仿宋" w:cs="仿宋"/>
          <w:b/>
          <w:bCs/>
          <w:sz w:val="32"/>
          <w:lang w:val="en-US" w:eastAsia="zh-CN"/>
        </w:rPr>
        <w:t>具体方向：</w:t>
      </w:r>
    </w:p>
    <w:p w14:paraId="42283D0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Calibri" w:hAnsi="Calibri" w:eastAsia="仿宋" w:cs="Times New Roman"/>
          <w:sz w:val="32"/>
          <w:lang w:val="en-US" w:eastAsia="zh-CN"/>
        </w:rPr>
      </w:pPr>
      <w:r>
        <w:rPr>
          <w:rFonts w:hint="eastAsia" w:ascii="仿宋" w:hAnsi="仿宋" w:eastAsia="仿宋" w:cs="仿宋"/>
          <w:sz w:val="32"/>
          <w:lang w:val="en-US" w:eastAsia="zh-CN"/>
        </w:rPr>
        <w:t>·</w:t>
      </w:r>
      <w:r>
        <w:rPr>
          <w:rFonts w:hint="eastAsia" w:ascii="Calibri" w:hAnsi="Calibri" w:eastAsia="仿宋" w:cs="Times New Roman"/>
          <w:sz w:val="32"/>
          <w:lang w:val="en-US" w:eastAsia="zh-CN"/>
        </w:rPr>
        <w:t>教育投入与经费保障机制的法律刚性约束；</w:t>
      </w:r>
    </w:p>
    <w:p w14:paraId="557D342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Calibri" w:hAnsi="Calibri" w:eastAsia="仿宋" w:cs="Times New Roman"/>
          <w:sz w:val="32"/>
          <w:lang w:val="en-US" w:eastAsia="zh-CN"/>
        </w:rPr>
      </w:pPr>
      <w:r>
        <w:rPr>
          <w:rFonts w:hint="eastAsia" w:ascii="仿宋" w:hAnsi="仿宋" w:eastAsia="仿宋" w:cs="仿宋"/>
          <w:sz w:val="32"/>
          <w:lang w:val="en-US" w:eastAsia="zh-CN"/>
        </w:rPr>
        <w:t>·</w:t>
      </w:r>
      <w:r>
        <w:rPr>
          <w:rFonts w:hint="eastAsia" w:ascii="Calibri" w:hAnsi="Calibri" w:eastAsia="仿宋" w:cs="Times New Roman"/>
          <w:sz w:val="32"/>
          <w:lang w:val="en-US" w:eastAsia="zh-CN"/>
        </w:rPr>
        <w:t>教育督导、质量评估与监测体系的法治化；</w:t>
      </w:r>
    </w:p>
    <w:p w14:paraId="0730D63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Calibri" w:hAnsi="Calibri" w:eastAsia="仿宋" w:cs="Times New Roman"/>
          <w:sz w:val="32"/>
          <w:lang w:val="en-US" w:eastAsia="zh-CN"/>
        </w:rPr>
      </w:pPr>
      <w:r>
        <w:rPr>
          <w:rFonts w:hint="eastAsia" w:ascii="仿宋" w:hAnsi="仿宋" w:eastAsia="仿宋" w:cs="仿宋"/>
          <w:sz w:val="32"/>
          <w:lang w:val="en-US" w:eastAsia="zh-CN"/>
        </w:rPr>
        <w:t>·</w:t>
      </w:r>
      <w:r>
        <w:rPr>
          <w:rFonts w:hint="eastAsia" w:ascii="Calibri" w:hAnsi="Calibri" w:eastAsia="仿宋" w:cs="Times New Roman"/>
          <w:sz w:val="32"/>
          <w:lang w:val="en-US" w:eastAsia="zh-CN"/>
        </w:rPr>
        <w:t>教育法律责任体系及教育纠纷多元化解机制研究。</w:t>
      </w:r>
    </w:p>
    <w:p w14:paraId="74E17296">
      <w:pPr>
        <w:numPr>
          <w:ilvl w:val="0"/>
          <w:numId w:val="0"/>
        </w:numPr>
        <w:ind w:firstLine="640" w:firstLineChars="200"/>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成果形式</w:t>
      </w:r>
    </w:p>
    <w:p w14:paraId="53D7AAD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sz w:val="32"/>
          <w:lang w:val="en-US" w:eastAsia="zh-CN"/>
        </w:rPr>
      </w:pPr>
      <w:r>
        <w:rPr>
          <w:rFonts w:hint="eastAsia" w:ascii="仿宋" w:hAnsi="仿宋" w:eastAsia="仿宋" w:cs="仿宋"/>
          <w:sz w:val="32"/>
          <w:lang w:val="en-US" w:eastAsia="zh-CN"/>
        </w:rPr>
        <w:t>·</w:t>
      </w:r>
      <w:r>
        <w:rPr>
          <w:rFonts w:hint="eastAsia" w:ascii="仿宋" w:hAnsi="仿宋" w:eastAsia="仿宋" w:cs="仿宋"/>
          <w:b/>
          <w:bCs/>
          <w:sz w:val="32"/>
          <w:lang w:val="en-US" w:eastAsia="zh-CN"/>
        </w:rPr>
        <w:t>教育法典总则及分则立法专家建议稿及说明。</w:t>
      </w:r>
      <w:r>
        <w:rPr>
          <w:rFonts w:hint="eastAsia" w:ascii="仿宋" w:hAnsi="仿宋" w:eastAsia="仿宋" w:cs="仿宋"/>
          <w:sz w:val="32"/>
          <w:lang w:val="en-US" w:eastAsia="zh-CN"/>
        </w:rPr>
        <w:t>建议稿应体系完备、逻辑完整、详略得当。应包括：试拟条文（语言精练、准确，符合《立法技术规范》）。逐条释义（解释条文的必要性、法律依据或法理依据、参考来源以及核心含义、适用范围、规范目的等）。立法说明应从整体说明立法的必要性、重要意义、立法过程以及主要任务。</w:t>
      </w:r>
    </w:p>
    <w:p w14:paraId="0130719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sz w:val="32"/>
          <w:lang w:val="en-US" w:eastAsia="zh-CN"/>
        </w:rPr>
      </w:pPr>
      <w:r>
        <w:rPr>
          <w:rFonts w:hint="default" w:ascii="仿宋" w:hAnsi="仿宋" w:eastAsia="仿宋" w:cs="仿宋"/>
          <w:sz w:val="32"/>
          <w:lang w:val="en-US" w:eastAsia="zh-CN"/>
        </w:rPr>
        <w:t>·</w:t>
      </w:r>
      <w:r>
        <w:rPr>
          <w:rFonts w:hint="eastAsia" w:ascii="仿宋" w:hAnsi="仿宋" w:eastAsia="仿宋" w:cs="仿宋"/>
          <w:b/>
          <w:bCs/>
          <w:sz w:val="32"/>
          <w:lang w:val="en-US" w:eastAsia="zh-CN"/>
        </w:rPr>
        <w:t>调研报告/专项报告。</w:t>
      </w:r>
      <w:r>
        <w:rPr>
          <w:rFonts w:hint="eastAsia" w:ascii="仿宋" w:hAnsi="仿宋" w:eastAsia="仿宋" w:cs="仿宋"/>
          <w:sz w:val="32"/>
          <w:lang w:val="en-US" w:eastAsia="zh-CN"/>
        </w:rPr>
        <w:t>针对特定教育法律问题的实证研究报告，要求：坚持问题导向，数据来源翔实可靠。剖析问题精准深刻，避免泛泛而谈。提出的对策建议应当具体、务实，具有较强的立法参考价值和可操作性。</w:t>
      </w:r>
    </w:p>
    <w:p w14:paraId="049CDB4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sz w:val="32"/>
          <w:lang w:val="en-US" w:eastAsia="zh-CN"/>
        </w:rPr>
      </w:pPr>
      <w:r>
        <w:rPr>
          <w:rFonts w:hint="default" w:ascii="仿宋" w:hAnsi="仿宋" w:eastAsia="仿宋" w:cs="仿宋"/>
          <w:sz w:val="32"/>
          <w:lang w:val="en-US" w:eastAsia="zh-CN"/>
        </w:rPr>
        <w:t>·</w:t>
      </w:r>
      <w:r>
        <w:rPr>
          <w:rFonts w:hint="eastAsia" w:ascii="仿宋" w:hAnsi="仿宋" w:eastAsia="仿宋" w:cs="仿宋"/>
          <w:b/>
          <w:bCs/>
          <w:sz w:val="32"/>
          <w:lang w:val="en-US" w:eastAsia="zh-CN"/>
        </w:rPr>
        <w:t>教育法基本概念法律释义。</w:t>
      </w:r>
      <w:r>
        <w:rPr>
          <w:rFonts w:hint="eastAsia" w:ascii="仿宋" w:hAnsi="仿宋" w:eastAsia="仿宋" w:cs="仿宋"/>
          <w:sz w:val="32"/>
          <w:lang w:val="en-US" w:eastAsia="zh-CN"/>
        </w:rPr>
        <w:t>针对教育法典中拟使用的核心术语进行规范化界定。要求：对教育法相关核心概念进行法律层面的界定。梳理概念在现有法律体系中的演变，分析其在法典语境下应有的规范含义。</w:t>
      </w:r>
    </w:p>
    <w:p w14:paraId="05597F75">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教育法学学科体系建设研究（重大）</w:t>
      </w:r>
    </w:p>
    <w:p w14:paraId="74D4DBE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alibri" w:hAnsi="Calibri" w:eastAsia="仿宋" w:cs="Times New Roman"/>
          <w:sz w:val="32"/>
          <w:lang w:val="en-US" w:eastAsia="zh-CN"/>
        </w:rPr>
      </w:pPr>
      <w:r>
        <w:rPr>
          <w:rFonts w:hint="eastAsia" w:ascii="楷体" w:hAnsi="楷体" w:eastAsia="楷体" w:cs="楷体"/>
          <w:sz w:val="32"/>
          <w:szCs w:val="32"/>
        </w:rPr>
        <w:t>指南意图</w:t>
      </w:r>
    </w:p>
    <w:p w14:paraId="04592192">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 w:hAnsi="仿宋" w:eastAsia="仿宋" w:cs="仿宋"/>
          <w:b/>
          <w:bCs/>
          <w:kern w:val="2"/>
          <w:sz w:val="32"/>
          <w:szCs w:val="24"/>
          <w:lang w:val="en-US" w:eastAsia="zh-CN" w:bidi="ar-SA"/>
        </w:rPr>
      </w:pPr>
      <w:r>
        <w:rPr>
          <w:rFonts w:hint="eastAsia" w:ascii="仿宋" w:hAnsi="仿宋" w:eastAsia="仿宋" w:cs="仿宋"/>
          <w:b/>
          <w:bCs/>
          <w:kern w:val="2"/>
          <w:sz w:val="32"/>
          <w:szCs w:val="24"/>
          <w:lang w:val="en-US" w:eastAsia="zh-CN" w:bidi="ar-SA"/>
        </w:rPr>
        <w:t>1.教育法学学科体系建设的基础理论</w:t>
      </w:r>
    </w:p>
    <w:p w14:paraId="5B8DF2E8">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 w:hAnsi="仿宋" w:eastAsia="仿宋" w:cs="仿宋"/>
          <w:b/>
          <w:bCs/>
          <w:kern w:val="2"/>
          <w:sz w:val="32"/>
          <w:szCs w:val="24"/>
          <w:lang w:val="en-US" w:eastAsia="zh-CN" w:bidi="ar-SA"/>
        </w:rPr>
      </w:pPr>
      <w:r>
        <w:rPr>
          <w:rFonts w:hint="eastAsia" w:ascii="仿宋" w:hAnsi="仿宋" w:eastAsia="仿宋" w:cs="仿宋"/>
          <w:b/>
          <w:bCs/>
          <w:kern w:val="2"/>
          <w:sz w:val="32"/>
          <w:szCs w:val="24"/>
          <w:lang w:val="en-US" w:eastAsia="zh-CN" w:bidi="ar-SA"/>
        </w:rPr>
        <w:t>主要任务：</w:t>
      </w:r>
    </w:p>
    <w:p w14:paraId="6E21885D">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b w:val="0"/>
          <w:kern w:val="2"/>
          <w:sz w:val="32"/>
          <w:szCs w:val="24"/>
          <w:lang w:val="en-US" w:eastAsia="zh-CN" w:bidi="ar-SA"/>
        </w:rPr>
      </w:pPr>
      <w:r>
        <w:rPr>
          <w:rFonts w:hint="eastAsia" w:ascii="仿宋" w:hAnsi="仿宋" w:eastAsia="仿宋" w:cs="仿宋"/>
          <w:b w:val="0"/>
          <w:kern w:val="2"/>
          <w:sz w:val="32"/>
          <w:szCs w:val="24"/>
          <w:lang w:val="en-US" w:eastAsia="zh-CN" w:bidi="ar-SA"/>
        </w:rPr>
        <w:t>厘定教育法学学科建设的理论体系。</w:t>
      </w:r>
    </w:p>
    <w:p w14:paraId="46E13DE6">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 w:hAnsi="仿宋" w:eastAsia="仿宋" w:cs="仿宋"/>
          <w:b/>
          <w:bCs/>
          <w:kern w:val="2"/>
          <w:sz w:val="32"/>
          <w:szCs w:val="24"/>
          <w:lang w:val="en-US" w:eastAsia="zh-CN" w:bidi="ar-SA"/>
        </w:rPr>
      </w:pPr>
      <w:r>
        <w:rPr>
          <w:rFonts w:hint="eastAsia" w:ascii="仿宋" w:hAnsi="仿宋" w:eastAsia="仿宋" w:cs="仿宋"/>
          <w:b/>
          <w:bCs/>
          <w:kern w:val="2"/>
          <w:sz w:val="32"/>
          <w:szCs w:val="24"/>
          <w:lang w:val="en-US" w:eastAsia="zh-CN" w:bidi="ar-SA"/>
        </w:rPr>
        <w:t>具体方向:</w:t>
      </w:r>
    </w:p>
    <w:p w14:paraId="3E03B01C">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b w:val="0"/>
          <w:kern w:val="2"/>
          <w:sz w:val="32"/>
          <w:szCs w:val="24"/>
          <w:lang w:val="en-US" w:eastAsia="zh-CN" w:bidi="ar-SA"/>
        </w:rPr>
      </w:pPr>
      <w:r>
        <w:rPr>
          <w:rFonts w:hint="eastAsia" w:ascii="仿宋" w:hAnsi="仿宋" w:eastAsia="仿宋" w:cs="仿宋"/>
          <w:b w:val="0"/>
          <w:kern w:val="2"/>
          <w:sz w:val="32"/>
          <w:szCs w:val="24"/>
          <w:lang w:val="en-US" w:eastAsia="zh-CN" w:bidi="ar-SA"/>
        </w:rPr>
        <w:t>·系统梳理教育法学学科体系建设的历史脉络与现状研判；</w:t>
      </w:r>
    </w:p>
    <w:p w14:paraId="0439824C">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b w:val="0"/>
          <w:kern w:val="2"/>
          <w:sz w:val="32"/>
          <w:szCs w:val="24"/>
          <w:lang w:val="en-US" w:eastAsia="zh-CN" w:bidi="ar-SA"/>
        </w:rPr>
      </w:pPr>
      <w:r>
        <w:rPr>
          <w:rFonts w:hint="eastAsia" w:ascii="仿宋" w:hAnsi="仿宋" w:eastAsia="仿宋" w:cs="仿宋"/>
          <w:b w:val="0"/>
          <w:kern w:val="2"/>
          <w:sz w:val="32"/>
          <w:szCs w:val="24"/>
          <w:lang w:val="en-US" w:eastAsia="zh-CN" w:bidi="ar-SA"/>
        </w:rPr>
        <w:t>·研究教育法学学科体系建设的理论与现实依据；</w:t>
      </w:r>
    </w:p>
    <w:p w14:paraId="32F94318">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b w:val="0"/>
          <w:kern w:val="2"/>
          <w:sz w:val="32"/>
          <w:szCs w:val="24"/>
          <w:lang w:val="en-US" w:eastAsia="zh-CN" w:bidi="ar-SA"/>
        </w:rPr>
      </w:pPr>
      <w:r>
        <w:rPr>
          <w:rFonts w:hint="eastAsia" w:ascii="仿宋" w:hAnsi="仿宋" w:eastAsia="仿宋" w:cs="仿宋"/>
          <w:b w:val="0"/>
          <w:kern w:val="2"/>
          <w:sz w:val="32"/>
          <w:szCs w:val="24"/>
          <w:lang w:val="en-US" w:eastAsia="zh-CN" w:bidi="ar-SA"/>
        </w:rPr>
        <w:t>·研究教育法学的学科基本范畴界定。</w:t>
      </w:r>
    </w:p>
    <w:p w14:paraId="1CB8C6E4">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 w:hAnsi="仿宋" w:eastAsia="仿宋" w:cs="仿宋"/>
          <w:b/>
          <w:bCs/>
          <w:kern w:val="2"/>
          <w:sz w:val="32"/>
          <w:szCs w:val="24"/>
          <w:lang w:val="en-US" w:eastAsia="zh-CN" w:bidi="ar-SA"/>
        </w:rPr>
      </w:pPr>
      <w:r>
        <w:rPr>
          <w:rFonts w:hint="eastAsia" w:ascii="仿宋" w:hAnsi="仿宋" w:eastAsia="仿宋" w:cs="仿宋"/>
          <w:b/>
          <w:bCs/>
          <w:kern w:val="2"/>
          <w:sz w:val="32"/>
          <w:szCs w:val="24"/>
          <w:lang w:val="en-US" w:eastAsia="zh-CN" w:bidi="ar-SA"/>
        </w:rPr>
        <w:t>2.世界主要国家教育法学研究现状</w:t>
      </w:r>
    </w:p>
    <w:p w14:paraId="4922C175">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 w:hAnsi="仿宋" w:eastAsia="仿宋" w:cs="仿宋"/>
          <w:b/>
          <w:bCs/>
          <w:kern w:val="2"/>
          <w:sz w:val="32"/>
          <w:szCs w:val="24"/>
          <w:lang w:val="en-US" w:eastAsia="zh-CN" w:bidi="ar-SA"/>
        </w:rPr>
      </w:pPr>
      <w:r>
        <w:rPr>
          <w:rFonts w:hint="eastAsia" w:ascii="仿宋" w:hAnsi="仿宋" w:eastAsia="仿宋" w:cs="仿宋"/>
          <w:b/>
          <w:bCs/>
          <w:kern w:val="2"/>
          <w:sz w:val="32"/>
          <w:szCs w:val="24"/>
          <w:lang w:val="en-US" w:eastAsia="zh-CN" w:bidi="ar-SA"/>
        </w:rPr>
        <w:t>主要任务：</w:t>
      </w:r>
    </w:p>
    <w:p w14:paraId="6DE403F2">
      <w:pPr>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640" w:firstLineChars="200"/>
        <w:jc w:val="both"/>
        <w:textAlignment w:val="auto"/>
        <w:rPr>
          <w:rFonts w:hint="eastAsia" w:ascii="仿宋" w:hAnsi="仿宋" w:eastAsia="仿宋" w:cs="仿宋"/>
          <w:b w:val="0"/>
          <w:kern w:val="2"/>
          <w:sz w:val="32"/>
          <w:szCs w:val="24"/>
          <w:lang w:val="en-US" w:eastAsia="zh-CN" w:bidi="ar-SA"/>
        </w:rPr>
      </w:pPr>
      <w:r>
        <w:rPr>
          <w:rFonts w:hint="eastAsia" w:ascii="仿宋" w:hAnsi="仿宋" w:eastAsia="仿宋" w:cs="仿宋"/>
          <w:b w:val="0"/>
          <w:kern w:val="2"/>
          <w:sz w:val="32"/>
          <w:szCs w:val="24"/>
          <w:lang w:val="en-US" w:eastAsia="zh-CN" w:bidi="ar-SA"/>
        </w:rPr>
        <w:t>系统梳理世界主要国家教育法学的发展历程、学科定位。揭示教育法学学科建设的共性规律与差异化特征，为构建中国自主的教育法学学科体系、学术体系和话语体系提供国际经验与参照坐标。</w:t>
      </w:r>
    </w:p>
    <w:p w14:paraId="515FB5CD">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 w:hAnsi="仿宋" w:eastAsia="仿宋" w:cs="仿宋"/>
          <w:b/>
          <w:bCs/>
          <w:kern w:val="2"/>
          <w:sz w:val="32"/>
          <w:szCs w:val="24"/>
          <w:lang w:val="en-US" w:eastAsia="zh-CN" w:bidi="ar-SA"/>
        </w:rPr>
      </w:pPr>
      <w:r>
        <w:rPr>
          <w:rFonts w:hint="eastAsia" w:ascii="仿宋" w:hAnsi="仿宋" w:eastAsia="仿宋" w:cs="仿宋"/>
          <w:b/>
          <w:bCs/>
          <w:kern w:val="2"/>
          <w:sz w:val="32"/>
          <w:szCs w:val="24"/>
          <w:lang w:val="en-US" w:eastAsia="zh-CN" w:bidi="ar-SA"/>
        </w:rPr>
        <w:t>具体方向：</w:t>
      </w:r>
    </w:p>
    <w:p w14:paraId="08EDB396">
      <w:pPr>
        <w:keepNext w:val="0"/>
        <w:keepLines w:val="0"/>
        <w:pageBreakBefore w:val="0"/>
        <w:widowControl w:val="0"/>
        <w:numPr>
          <w:numId w:val="0"/>
        </w:numPr>
        <w:kinsoku/>
        <w:wordWrap/>
        <w:overflowPunct/>
        <w:topLinePunct w:val="0"/>
        <w:autoSpaceDE/>
        <w:autoSpaceDN/>
        <w:bidi w:val="0"/>
        <w:adjustRightInd/>
        <w:snapToGrid/>
        <w:spacing w:before="0" w:line="560" w:lineRule="exact"/>
        <w:ind w:firstLine="640" w:firstLineChars="200"/>
        <w:jc w:val="both"/>
        <w:textAlignment w:val="auto"/>
        <w:rPr>
          <w:rFonts w:hint="eastAsia" w:ascii="仿宋" w:hAnsi="仿宋" w:eastAsia="仿宋" w:cs="仿宋"/>
          <w:b w:val="0"/>
          <w:kern w:val="2"/>
          <w:sz w:val="32"/>
          <w:szCs w:val="24"/>
          <w:lang w:val="en-US" w:eastAsia="zh-CN" w:bidi="ar-SA"/>
        </w:rPr>
      </w:pPr>
      <w:r>
        <w:rPr>
          <w:rFonts w:hint="eastAsia" w:ascii="仿宋" w:hAnsi="仿宋" w:eastAsia="仿宋" w:cs="仿宋"/>
          <w:b w:val="0"/>
          <w:kern w:val="2"/>
          <w:sz w:val="32"/>
          <w:szCs w:val="24"/>
          <w:lang w:val="en-US" w:eastAsia="zh-CN" w:bidi="ar-SA"/>
        </w:rPr>
        <w:t>·</w:t>
      </w:r>
      <w:r>
        <w:rPr>
          <w:rFonts w:hint="eastAsia" w:ascii="仿宋" w:hAnsi="仿宋" w:eastAsia="仿宋" w:cs="仿宋"/>
          <w:b w:val="0"/>
          <w:kern w:val="2"/>
          <w:sz w:val="32"/>
          <w:szCs w:val="24"/>
          <w:lang w:val="en-US" w:eastAsia="zh-CN" w:bidi="ar-SA"/>
        </w:rPr>
        <w:t>教育法学的学科属性与定位的比较；</w:t>
      </w:r>
    </w:p>
    <w:p w14:paraId="373C1A92">
      <w:pPr>
        <w:keepNext w:val="0"/>
        <w:keepLines w:val="0"/>
        <w:pageBreakBefore w:val="0"/>
        <w:widowControl w:val="0"/>
        <w:numPr>
          <w:numId w:val="0"/>
        </w:numPr>
        <w:kinsoku/>
        <w:wordWrap/>
        <w:overflowPunct/>
        <w:topLinePunct w:val="0"/>
        <w:autoSpaceDE/>
        <w:autoSpaceDN/>
        <w:bidi w:val="0"/>
        <w:adjustRightInd/>
        <w:snapToGrid/>
        <w:spacing w:before="0" w:line="560" w:lineRule="exact"/>
        <w:ind w:firstLine="640" w:firstLineChars="200"/>
        <w:jc w:val="both"/>
        <w:textAlignment w:val="auto"/>
        <w:rPr>
          <w:rFonts w:hint="eastAsia" w:ascii="仿宋" w:hAnsi="仿宋" w:eastAsia="仿宋" w:cs="仿宋"/>
          <w:b w:val="0"/>
          <w:kern w:val="2"/>
          <w:sz w:val="32"/>
          <w:szCs w:val="24"/>
          <w:lang w:val="en-US" w:eastAsia="zh-CN" w:bidi="ar-SA"/>
        </w:rPr>
      </w:pPr>
      <w:r>
        <w:rPr>
          <w:rFonts w:hint="eastAsia" w:ascii="仿宋" w:hAnsi="仿宋" w:eastAsia="仿宋" w:cs="仿宋"/>
          <w:b w:val="0"/>
          <w:kern w:val="2"/>
          <w:sz w:val="32"/>
          <w:szCs w:val="24"/>
          <w:lang w:val="en-US" w:eastAsia="zh-CN" w:bidi="ar-SA"/>
        </w:rPr>
        <w:t>·</w:t>
      </w:r>
      <w:r>
        <w:rPr>
          <w:rFonts w:hint="eastAsia" w:ascii="仿宋" w:hAnsi="仿宋" w:eastAsia="仿宋" w:cs="仿宋"/>
          <w:b w:val="0"/>
          <w:kern w:val="2"/>
          <w:sz w:val="32"/>
          <w:szCs w:val="24"/>
          <w:lang w:val="en-US" w:eastAsia="zh-CN" w:bidi="ar-SA"/>
        </w:rPr>
        <w:t>教育法学专业人才培养模式与课程体系比较；</w:t>
      </w:r>
    </w:p>
    <w:p w14:paraId="4171D7A9">
      <w:pPr>
        <w:keepNext w:val="0"/>
        <w:keepLines w:val="0"/>
        <w:pageBreakBefore w:val="0"/>
        <w:widowControl w:val="0"/>
        <w:numPr>
          <w:numId w:val="0"/>
        </w:numPr>
        <w:kinsoku/>
        <w:wordWrap/>
        <w:overflowPunct/>
        <w:topLinePunct w:val="0"/>
        <w:autoSpaceDE/>
        <w:autoSpaceDN/>
        <w:bidi w:val="0"/>
        <w:adjustRightInd/>
        <w:snapToGrid/>
        <w:spacing w:before="0" w:line="560" w:lineRule="exact"/>
        <w:ind w:firstLine="640" w:firstLineChars="200"/>
        <w:jc w:val="both"/>
        <w:textAlignment w:val="auto"/>
        <w:rPr>
          <w:rFonts w:hint="eastAsia" w:ascii="仿宋" w:hAnsi="仿宋" w:eastAsia="仿宋" w:cs="仿宋"/>
          <w:b w:val="0"/>
          <w:kern w:val="2"/>
          <w:sz w:val="32"/>
          <w:szCs w:val="24"/>
          <w:lang w:val="en-US" w:eastAsia="zh-CN" w:bidi="ar-SA"/>
        </w:rPr>
      </w:pPr>
      <w:r>
        <w:rPr>
          <w:rFonts w:hint="eastAsia" w:ascii="仿宋" w:hAnsi="仿宋" w:eastAsia="仿宋" w:cs="仿宋"/>
          <w:b w:val="0"/>
          <w:kern w:val="2"/>
          <w:sz w:val="32"/>
          <w:szCs w:val="24"/>
          <w:lang w:val="en-US" w:eastAsia="zh-CN" w:bidi="ar-SA"/>
        </w:rPr>
        <w:t>·</w:t>
      </w:r>
      <w:r>
        <w:rPr>
          <w:rFonts w:hint="eastAsia" w:ascii="仿宋" w:hAnsi="仿宋" w:eastAsia="仿宋" w:cs="仿宋"/>
          <w:b w:val="0"/>
          <w:kern w:val="2"/>
          <w:sz w:val="32"/>
          <w:szCs w:val="24"/>
          <w:lang w:val="en-US" w:eastAsia="zh-CN" w:bidi="ar-SA"/>
        </w:rPr>
        <w:t>教育法学学术组织、学术期刊、研究机构建设比较；</w:t>
      </w:r>
    </w:p>
    <w:p w14:paraId="602CE332">
      <w:pPr>
        <w:keepNext w:val="0"/>
        <w:keepLines w:val="0"/>
        <w:pageBreakBefore w:val="0"/>
        <w:widowControl w:val="0"/>
        <w:numPr>
          <w:numId w:val="0"/>
        </w:numPr>
        <w:kinsoku/>
        <w:wordWrap/>
        <w:overflowPunct/>
        <w:topLinePunct w:val="0"/>
        <w:autoSpaceDE/>
        <w:autoSpaceDN/>
        <w:bidi w:val="0"/>
        <w:adjustRightInd/>
        <w:snapToGrid/>
        <w:spacing w:before="0" w:line="560" w:lineRule="exact"/>
        <w:ind w:firstLine="640" w:firstLineChars="200"/>
        <w:jc w:val="both"/>
        <w:textAlignment w:val="auto"/>
        <w:rPr>
          <w:rFonts w:hint="eastAsia" w:ascii="仿宋" w:hAnsi="仿宋" w:eastAsia="仿宋" w:cs="仿宋"/>
          <w:b w:val="0"/>
          <w:kern w:val="2"/>
          <w:sz w:val="32"/>
          <w:szCs w:val="24"/>
          <w:lang w:val="en-US" w:eastAsia="zh-CN" w:bidi="ar-SA"/>
        </w:rPr>
      </w:pPr>
      <w:r>
        <w:rPr>
          <w:rFonts w:hint="eastAsia" w:ascii="仿宋" w:hAnsi="仿宋" w:eastAsia="仿宋" w:cs="仿宋"/>
          <w:b w:val="0"/>
          <w:kern w:val="2"/>
          <w:sz w:val="32"/>
          <w:szCs w:val="24"/>
          <w:lang w:val="en-US" w:eastAsia="zh-CN" w:bidi="ar-SA"/>
        </w:rPr>
        <w:t>·</w:t>
      </w:r>
      <w:r>
        <w:rPr>
          <w:rFonts w:hint="eastAsia" w:ascii="仿宋" w:hAnsi="仿宋" w:eastAsia="仿宋" w:cs="仿宋"/>
          <w:b w:val="0"/>
          <w:kern w:val="2"/>
          <w:sz w:val="32"/>
          <w:szCs w:val="24"/>
          <w:lang w:val="en-US" w:eastAsia="zh-CN" w:bidi="ar-SA"/>
        </w:rPr>
        <w:t>教育法学研究范式与方法论比较；</w:t>
      </w:r>
    </w:p>
    <w:p w14:paraId="4B628D46">
      <w:pPr>
        <w:keepNext w:val="0"/>
        <w:keepLines w:val="0"/>
        <w:pageBreakBefore w:val="0"/>
        <w:widowControl w:val="0"/>
        <w:numPr>
          <w:numId w:val="0"/>
        </w:numPr>
        <w:kinsoku/>
        <w:wordWrap/>
        <w:overflowPunct/>
        <w:topLinePunct w:val="0"/>
        <w:autoSpaceDE/>
        <w:autoSpaceDN/>
        <w:bidi w:val="0"/>
        <w:adjustRightInd/>
        <w:snapToGrid/>
        <w:spacing w:before="0" w:line="560" w:lineRule="exact"/>
        <w:ind w:firstLine="640" w:firstLineChars="200"/>
        <w:jc w:val="both"/>
        <w:textAlignment w:val="auto"/>
        <w:rPr>
          <w:rFonts w:hint="eastAsia" w:ascii="仿宋" w:hAnsi="仿宋" w:eastAsia="仿宋" w:cs="仿宋"/>
          <w:b w:val="0"/>
          <w:kern w:val="2"/>
          <w:sz w:val="32"/>
          <w:szCs w:val="24"/>
          <w:lang w:val="en-US" w:eastAsia="zh-CN" w:bidi="ar-SA"/>
        </w:rPr>
      </w:pPr>
      <w:r>
        <w:rPr>
          <w:rFonts w:hint="eastAsia" w:ascii="仿宋" w:hAnsi="仿宋" w:eastAsia="仿宋" w:cs="仿宋"/>
          <w:b w:val="0"/>
          <w:kern w:val="2"/>
          <w:sz w:val="32"/>
          <w:szCs w:val="24"/>
          <w:lang w:val="en-US" w:eastAsia="zh-CN" w:bidi="ar-SA"/>
        </w:rPr>
        <w:t>·</w:t>
      </w:r>
      <w:r>
        <w:rPr>
          <w:rFonts w:hint="eastAsia" w:ascii="仿宋" w:hAnsi="仿宋" w:eastAsia="仿宋" w:cs="仿宋"/>
          <w:b w:val="0"/>
          <w:kern w:val="2"/>
          <w:sz w:val="32"/>
          <w:szCs w:val="24"/>
          <w:lang w:val="en-US" w:eastAsia="zh-CN" w:bidi="ar-SA"/>
        </w:rPr>
        <w:t>国际教育法学研究的前沿热点与演进趋势。</w:t>
      </w:r>
    </w:p>
    <w:p w14:paraId="4CA8AEE0">
      <w:pPr>
        <w:keepNext w:val="0"/>
        <w:keepLines w:val="0"/>
        <w:pageBreakBefore w:val="0"/>
        <w:widowControl w:val="0"/>
        <w:numPr>
          <w:numId w:val="0"/>
        </w:numPr>
        <w:kinsoku/>
        <w:wordWrap/>
        <w:overflowPunct/>
        <w:topLinePunct w:val="0"/>
        <w:autoSpaceDE/>
        <w:autoSpaceDN/>
        <w:bidi w:val="0"/>
        <w:adjustRightInd/>
        <w:snapToGrid/>
        <w:spacing w:before="0" w:line="560" w:lineRule="exact"/>
        <w:ind w:firstLine="643" w:firstLineChars="200"/>
        <w:jc w:val="both"/>
        <w:textAlignment w:val="auto"/>
        <w:rPr>
          <w:rFonts w:hint="eastAsia" w:ascii="仿宋" w:hAnsi="仿宋" w:eastAsia="仿宋" w:cs="仿宋"/>
          <w:b/>
          <w:bCs/>
          <w:kern w:val="2"/>
          <w:sz w:val="32"/>
          <w:szCs w:val="24"/>
          <w:lang w:val="en-US" w:eastAsia="zh-CN" w:bidi="ar-SA"/>
        </w:rPr>
      </w:pPr>
      <w:r>
        <w:rPr>
          <w:rFonts w:hint="eastAsia" w:ascii="仿宋" w:hAnsi="仿宋" w:eastAsia="仿宋" w:cs="仿宋"/>
          <w:b/>
          <w:bCs/>
          <w:kern w:val="2"/>
          <w:sz w:val="32"/>
          <w:szCs w:val="24"/>
          <w:lang w:val="en-US" w:eastAsia="zh-CN" w:bidi="ar-SA"/>
        </w:rPr>
        <w:t>3.教育法学学科的核心理论体系构建</w:t>
      </w:r>
    </w:p>
    <w:p w14:paraId="319C1328">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 w:hAnsi="仿宋" w:eastAsia="仿宋" w:cs="仿宋"/>
          <w:b/>
          <w:bCs/>
          <w:kern w:val="2"/>
          <w:sz w:val="32"/>
          <w:szCs w:val="24"/>
          <w:lang w:val="en-US" w:eastAsia="zh-CN" w:bidi="ar-SA"/>
        </w:rPr>
      </w:pPr>
      <w:r>
        <w:rPr>
          <w:rFonts w:hint="eastAsia" w:ascii="仿宋" w:hAnsi="仿宋" w:eastAsia="仿宋" w:cs="仿宋"/>
          <w:b/>
          <w:bCs/>
          <w:kern w:val="2"/>
          <w:sz w:val="32"/>
          <w:szCs w:val="24"/>
          <w:lang w:val="en-US" w:eastAsia="zh-CN" w:bidi="ar-SA"/>
        </w:rPr>
        <w:t>主要任务：</w:t>
      </w:r>
    </w:p>
    <w:p w14:paraId="2BE6A0E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b w:val="0"/>
          <w:kern w:val="2"/>
          <w:sz w:val="32"/>
          <w:szCs w:val="24"/>
          <w:lang w:val="en-US" w:eastAsia="zh-CN" w:bidi="ar-SA"/>
        </w:rPr>
      </w:pPr>
      <w:r>
        <w:rPr>
          <w:rFonts w:hint="eastAsia" w:ascii="仿宋" w:hAnsi="仿宋" w:eastAsia="仿宋" w:cs="仿宋"/>
          <w:b w:val="0"/>
          <w:kern w:val="2"/>
          <w:sz w:val="32"/>
          <w:szCs w:val="24"/>
          <w:lang w:val="en-US" w:eastAsia="zh-CN" w:bidi="ar-SA"/>
        </w:rPr>
        <w:t>厘定教育法学学科的理论体系。</w:t>
      </w:r>
    </w:p>
    <w:p w14:paraId="68952DA6">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 w:hAnsi="仿宋" w:eastAsia="仿宋" w:cs="仿宋"/>
          <w:b/>
          <w:bCs/>
          <w:kern w:val="2"/>
          <w:sz w:val="32"/>
          <w:szCs w:val="24"/>
          <w:lang w:val="en-US" w:eastAsia="zh-CN" w:bidi="ar-SA"/>
        </w:rPr>
      </w:pPr>
      <w:r>
        <w:rPr>
          <w:rFonts w:hint="eastAsia" w:ascii="仿宋" w:hAnsi="仿宋" w:eastAsia="仿宋" w:cs="仿宋"/>
          <w:b/>
          <w:bCs/>
          <w:kern w:val="2"/>
          <w:sz w:val="32"/>
          <w:szCs w:val="24"/>
          <w:lang w:val="en-US" w:eastAsia="zh-CN" w:bidi="ar-SA"/>
        </w:rPr>
        <w:t>具体方向：</w:t>
      </w:r>
    </w:p>
    <w:p w14:paraId="407DE134">
      <w:pPr>
        <w:keepNext w:val="0"/>
        <w:keepLines w:val="0"/>
        <w:pageBreakBefore w:val="0"/>
        <w:widowControl w:val="0"/>
        <w:numPr>
          <w:numId w:val="0"/>
        </w:numPr>
        <w:kinsoku/>
        <w:wordWrap/>
        <w:overflowPunct/>
        <w:topLinePunct w:val="0"/>
        <w:autoSpaceDE/>
        <w:autoSpaceDN/>
        <w:bidi w:val="0"/>
        <w:adjustRightInd/>
        <w:snapToGrid/>
        <w:spacing w:after="0" w:line="560" w:lineRule="exact"/>
        <w:ind w:firstLine="640" w:firstLineChars="200"/>
        <w:jc w:val="both"/>
        <w:textAlignment w:val="auto"/>
        <w:rPr>
          <w:rFonts w:hint="eastAsia" w:ascii="仿宋" w:hAnsi="仿宋" w:eastAsia="仿宋" w:cs="仿宋"/>
          <w:b w:val="0"/>
          <w:kern w:val="2"/>
          <w:sz w:val="32"/>
          <w:szCs w:val="24"/>
          <w:lang w:val="en-US" w:eastAsia="zh-CN" w:bidi="ar-SA"/>
        </w:rPr>
      </w:pPr>
      <w:r>
        <w:rPr>
          <w:rFonts w:hint="eastAsia" w:ascii="仿宋" w:hAnsi="仿宋" w:eastAsia="仿宋" w:cs="仿宋"/>
          <w:b w:val="0"/>
          <w:kern w:val="2"/>
          <w:sz w:val="32"/>
          <w:szCs w:val="24"/>
          <w:lang w:val="en-US" w:eastAsia="zh-CN" w:bidi="ar-SA"/>
        </w:rPr>
        <w:t>·</w:t>
      </w:r>
      <w:r>
        <w:rPr>
          <w:rFonts w:hint="eastAsia" w:ascii="仿宋" w:hAnsi="仿宋" w:eastAsia="仿宋" w:cs="仿宋"/>
          <w:b w:val="0"/>
          <w:kern w:val="2"/>
          <w:sz w:val="32"/>
          <w:szCs w:val="24"/>
          <w:lang w:val="en-US" w:eastAsia="zh-CN" w:bidi="ar-SA"/>
        </w:rPr>
        <w:t>研究教育法学的核心概念体系；</w:t>
      </w:r>
    </w:p>
    <w:p w14:paraId="37FADCDE">
      <w:pPr>
        <w:keepNext w:val="0"/>
        <w:keepLines w:val="0"/>
        <w:pageBreakBefore w:val="0"/>
        <w:widowControl w:val="0"/>
        <w:numPr>
          <w:numId w:val="0"/>
        </w:numPr>
        <w:kinsoku/>
        <w:wordWrap/>
        <w:overflowPunct/>
        <w:topLinePunct w:val="0"/>
        <w:autoSpaceDE/>
        <w:autoSpaceDN/>
        <w:bidi w:val="0"/>
        <w:adjustRightInd/>
        <w:snapToGrid/>
        <w:spacing w:after="0" w:line="560" w:lineRule="exact"/>
        <w:ind w:firstLine="640" w:firstLineChars="200"/>
        <w:jc w:val="both"/>
        <w:textAlignment w:val="auto"/>
        <w:rPr>
          <w:rFonts w:hint="eastAsia" w:ascii="仿宋" w:hAnsi="仿宋" w:eastAsia="仿宋" w:cs="仿宋"/>
          <w:b w:val="0"/>
          <w:kern w:val="2"/>
          <w:sz w:val="32"/>
          <w:szCs w:val="24"/>
          <w:lang w:val="en-US" w:eastAsia="zh-CN" w:bidi="ar-SA"/>
        </w:rPr>
      </w:pPr>
      <w:r>
        <w:rPr>
          <w:rFonts w:hint="eastAsia" w:ascii="仿宋" w:hAnsi="仿宋" w:eastAsia="仿宋" w:cs="仿宋"/>
          <w:b w:val="0"/>
          <w:kern w:val="2"/>
          <w:sz w:val="32"/>
          <w:szCs w:val="24"/>
          <w:lang w:val="en-US" w:eastAsia="zh-CN" w:bidi="ar-SA"/>
        </w:rPr>
        <w:t>·</w:t>
      </w:r>
      <w:r>
        <w:rPr>
          <w:rFonts w:hint="eastAsia" w:ascii="仿宋" w:hAnsi="仿宋" w:eastAsia="仿宋" w:cs="仿宋"/>
          <w:b w:val="0"/>
          <w:kern w:val="2"/>
          <w:sz w:val="32"/>
          <w:szCs w:val="24"/>
          <w:lang w:val="en-US" w:eastAsia="zh-CN" w:bidi="ar-SA"/>
        </w:rPr>
        <w:t>研究教育法学的总论和分论包含哪些内容；</w:t>
      </w:r>
    </w:p>
    <w:p w14:paraId="02C939FC">
      <w:pPr>
        <w:keepNext w:val="0"/>
        <w:keepLines w:val="0"/>
        <w:pageBreakBefore w:val="0"/>
        <w:widowControl w:val="0"/>
        <w:numPr>
          <w:numId w:val="0"/>
        </w:numPr>
        <w:kinsoku/>
        <w:wordWrap/>
        <w:overflowPunct/>
        <w:topLinePunct w:val="0"/>
        <w:autoSpaceDE/>
        <w:autoSpaceDN/>
        <w:bidi w:val="0"/>
        <w:adjustRightInd/>
        <w:snapToGrid/>
        <w:spacing w:after="0" w:line="560" w:lineRule="exact"/>
        <w:ind w:firstLine="640" w:firstLineChars="200"/>
        <w:jc w:val="both"/>
        <w:textAlignment w:val="auto"/>
        <w:rPr>
          <w:rFonts w:hint="eastAsia" w:ascii="仿宋" w:hAnsi="仿宋" w:eastAsia="仿宋" w:cs="仿宋"/>
          <w:b w:val="0"/>
          <w:kern w:val="2"/>
          <w:sz w:val="32"/>
          <w:szCs w:val="24"/>
          <w:lang w:val="en-US" w:eastAsia="zh-CN" w:bidi="ar-SA"/>
        </w:rPr>
      </w:pPr>
      <w:r>
        <w:rPr>
          <w:rFonts w:hint="eastAsia" w:ascii="仿宋" w:hAnsi="仿宋" w:eastAsia="仿宋" w:cs="仿宋"/>
          <w:b w:val="0"/>
          <w:kern w:val="2"/>
          <w:sz w:val="32"/>
          <w:szCs w:val="24"/>
          <w:lang w:val="en-US" w:eastAsia="zh-CN" w:bidi="ar-SA"/>
        </w:rPr>
        <w:t>·</w:t>
      </w:r>
      <w:r>
        <w:rPr>
          <w:rFonts w:hint="eastAsia" w:ascii="仿宋" w:hAnsi="仿宋" w:eastAsia="仿宋" w:cs="仿宋"/>
          <w:b w:val="0"/>
          <w:kern w:val="2"/>
          <w:sz w:val="32"/>
          <w:szCs w:val="24"/>
          <w:lang w:val="en-US" w:eastAsia="zh-CN" w:bidi="ar-SA"/>
        </w:rPr>
        <w:t>研究教育法学的方法论体系。</w:t>
      </w:r>
    </w:p>
    <w:p w14:paraId="1810FC79">
      <w:pPr>
        <w:keepNext w:val="0"/>
        <w:keepLines w:val="0"/>
        <w:pageBreakBefore w:val="0"/>
        <w:widowControl w:val="0"/>
        <w:numPr>
          <w:ilvl w:val="0"/>
          <w:numId w:val="0"/>
        </w:numPr>
        <w:kinsoku/>
        <w:wordWrap/>
        <w:overflowPunct/>
        <w:topLinePunct w:val="0"/>
        <w:autoSpaceDE/>
        <w:autoSpaceDN/>
        <w:bidi w:val="0"/>
        <w:adjustRightInd/>
        <w:snapToGrid/>
        <w:spacing w:before="0" w:line="560" w:lineRule="exact"/>
        <w:ind w:firstLine="643" w:firstLineChars="200"/>
        <w:jc w:val="both"/>
        <w:textAlignment w:val="auto"/>
        <w:rPr>
          <w:rFonts w:hint="eastAsia" w:ascii="仿宋" w:hAnsi="仿宋" w:eastAsia="仿宋" w:cs="仿宋"/>
          <w:b/>
          <w:bCs/>
          <w:kern w:val="2"/>
          <w:sz w:val="32"/>
          <w:szCs w:val="24"/>
          <w:lang w:val="en-US" w:eastAsia="zh-CN" w:bidi="ar-SA"/>
        </w:rPr>
      </w:pPr>
      <w:r>
        <w:rPr>
          <w:rFonts w:hint="eastAsia" w:ascii="仿宋" w:hAnsi="仿宋" w:eastAsia="仿宋" w:cs="仿宋"/>
          <w:b/>
          <w:bCs/>
          <w:kern w:val="2"/>
          <w:sz w:val="32"/>
          <w:szCs w:val="24"/>
          <w:lang w:val="en-US" w:eastAsia="zh-CN" w:bidi="ar-SA"/>
        </w:rPr>
        <w:t>4.教育法学学科的课程体系与教材体系建设</w:t>
      </w:r>
    </w:p>
    <w:p w14:paraId="4C48D97E">
      <w:pPr>
        <w:keepNext w:val="0"/>
        <w:keepLines w:val="0"/>
        <w:pageBreakBefore w:val="0"/>
        <w:widowControl w:val="0"/>
        <w:numPr>
          <w:ilvl w:val="0"/>
          <w:numId w:val="0"/>
        </w:numPr>
        <w:kinsoku/>
        <w:wordWrap/>
        <w:overflowPunct/>
        <w:topLinePunct w:val="0"/>
        <w:autoSpaceDE/>
        <w:autoSpaceDN/>
        <w:bidi w:val="0"/>
        <w:adjustRightInd/>
        <w:snapToGrid/>
        <w:spacing w:before="0" w:line="560" w:lineRule="exact"/>
        <w:ind w:firstLine="643" w:firstLineChars="200"/>
        <w:jc w:val="both"/>
        <w:textAlignment w:val="auto"/>
        <w:rPr>
          <w:rFonts w:hint="eastAsia" w:ascii="仿宋" w:hAnsi="仿宋" w:eastAsia="仿宋" w:cs="仿宋"/>
          <w:b/>
          <w:bCs/>
          <w:kern w:val="2"/>
          <w:sz w:val="32"/>
          <w:szCs w:val="24"/>
          <w:lang w:val="en-US" w:eastAsia="zh-CN" w:bidi="ar-SA"/>
        </w:rPr>
      </w:pPr>
      <w:r>
        <w:rPr>
          <w:rFonts w:hint="eastAsia" w:ascii="仿宋" w:hAnsi="仿宋" w:eastAsia="仿宋" w:cs="仿宋"/>
          <w:b/>
          <w:bCs/>
          <w:kern w:val="2"/>
          <w:sz w:val="32"/>
          <w:szCs w:val="24"/>
          <w:lang w:val="en-US" w:eastAsia="zh-CN" w:bidi="ar-SA"/>
        </w:rPr>
        <w:t>主要任务：</w:t>
      </w:r>
    </w:p>
    <w:p w14:paraId="3EE3D442">
      <w:pPr>
        <w:keepNext w:val="0"/>
        <w:keepLines w:val="0"/>
        <w:pageBreakBefore w:val="0"/>
        <w:widowControl w:val="0"/>
        <w:numPr>
          <w:ilvl w:val="0"/>
          <w:numId w:val="0"/>
        </w:numPr>
        <w:kinsoku/>
        <w:wordWrap/>
        <w:overflowPunct/>
        <w:topLinePunct w:val="0"/>
        <w:autoSpaceDE/>
        <w:autoSpaceDN/>
        <w:bidi w:val="0"/>
        <w:adjustRightInd/>
        <w:snapToGrid/>
        <w:spacing w:before="0" w:line="560" w:lineRule="exact"/>
        <w:ind w:firstLine="640" w:firstLineChars="200"/>
        <w:jc w:val="both"/>
        <w:textAlignment w:val="auto"/>
        <w:rPr>
          <w:rFonts w:hint="eastAsia" w:ascii="仿宋" w:hAnsi="仿宋" w:eastAsia="仿宋" w:cs="仿宋"/>
          <w:b w:val="0"/>
          <w:kern w:val="2"/>
          <w:sz w:val="32"/>
          <w:szCs w:val="24"/>
          <w:lang w:val="en-US" w:eastAsia="zh-CN" w:bidi="ar-SA"/>
        </w:rPr>
      </w:pPr>
      <w:r>
        <w:rPr>
          <w:rFonts w:hint="eastAsia" w:ascii="仿宋" w:hAnsi="仿宋" w:eastAsia="仿宋" w:cs="仿宋"/>
          <w:b w:val="0"/>
          <w:kern w:val="2"/>
          <w:sz w:val="32"/>
          <w:szCs w:val="24"/>
          <w:lang w:val="en-US" w:eastAsia="zh-CN" w:bidi="ar-SA"/>
        </w:rPr>
        <w:t>明确教育法学学科的课程体系与相关教材。</w:t>
      </w:r>
    </w:p>
    <w:p w14:paraId="153B3CD4">
      <w:pPr>
        <w:keepNext w:val="0"/>
        <w:keepLines w:val="0"/>
        <w:pageBreakBefore w:val="0"/>
        <w:widowControl w:val="0"/>
        <w:numPr>
          <w:ilvl w:val="0"/>
          <w:numId w:val="0"/>
        </w:numPr>
        <w:kinsoku/>
        <w:wordWrap/>
        <w:overflowPunct/>
        <w:topLinePunct w:val="0"/>
        <w:autoSpaceDE/>
        <w:autoSpaceDN/>
        <w:bidi w:val="0"/>
        <w:adjustRightInd/>
        <w:snapToGrid/>
        <w:spacing w:before="0" w:line="560" w:lineRule="exact"/>
        <w:ind w:firstLine="643" w:firstLineChars="200"/>
        <w:jc w:val="both"/>
        <w:textAlignment w:val="auto"/>
        <w:rPr>
          <w:rFonts w:hint="eastAsia" w:ascii="仿宋" w:hAnsi="仿宋" w:eastAsia="仿宋" w:cs="仿宋"/>
          <w:b/>
          <w:bCs/>
          <w:kern w:val="2"/>
          <w:sz w:val="32"/>
          <w:szCs w:val="24"/>
          <w:lang w:val="en-US" w:eastAsia="zh-CN" w:bidi="ar-SA"/>
        </w:rPr>
      </w:pPr>
      <w:r>
        <w:rPr>
          <w:rFonts w:hint="eastAsia" w:ascii="仿宋" w:hAnsi="仿宋" w:eastAsia="仿宋" w:cs="仿宋"/>
          <w:b/>
          <w:bCs/>
          <w:kern w:val="2"/>
          <w:sz w:val="32"/>
          <w:szCs w:val="24"/>
          <w:lang w:val="en-US" w:eastAsia="zh-CN" w:bidi="ar-SA"/>
        </w:rPr>
        <w:t>具体方向：</w:t>
      </w:r>
    </w:p>
    <w:p w14:paraId="7045598F">
      <w:pPr>
        <w:keepNext w:val="0"/>
        <w:keepLines w:val="0"/>
        <w:pageBreakBefore w:val="0"/>
        <w:widowControl w:val="0"/>
        <w:numPr>
          <w:numId w:val="0"/>
        </w:numPr>
        <w:kinsoku/>
        <w:wordWrap/>
        <w:overflowPunct/>
        <w:topLinePunct w:val="0"/>
        <w:autoSpaceDE/>
        <w:autoSpaceDN/>
        <w:bidi w:val="0"/>
        <w:adjustRightInd/>
        <w:snapToGrid/>
        <w:spacing w:after="0" w:line="560" w:lineRule="exact"/>
        <w:ind w:firstLine="640" w:firstLineChars="200"/>
        <w:jc w:val="both"/>
        <w:textAlignment w:val="auto"/>
        <w:rPr>
          <w:rFonts w:hint="eastAsia" w:ascii="仿宋" w:hAnsi="仿宋" w:eastAsia="仿宋" w:cs="仿宋"/>
          <w:b w:val="0"/>
          <w:kern w:val="2"/>
          <w:sz w:val="32"/>
          <w:szCs w:val="24"/>
          <w:lang w:val="en-US" w:eastAsia="zh-CN" w:bidi="ar-SA"/>
        </w:rPr>
      </w:pPr>
      <w:r>
        <w:rPr>
          <w:rFonts w:hint="eastAsia" w:ascii="仿宋" w:hAnsi="仿宋" w:eastAsia="仿宋" w:cs="仿宋"/>
          <w:b w:val="0"/>
          <w:kern w:val="2"/>
          <w:sz w:val="32"/>
          <w:szCs w:val="24"/>
          <w:lang w:val="en-US" w:eastAsia="zh-CN" w:bidi="ar-SA"/>
        </w:rPr>
        <w:t>·</w:t>
      </w:r>
      <w:r>
        <w:rPr>
          <w:rFonts w:hint="eastAsia" w:ascii="仿宋" w:hAnsi="仿宋" w:eastAsia="仿宋" w:cs="仿宋"/>
          <w:b w:val="0"/>
          <w:kern w:val="2"/>
          <w:sz w:val="32"/>
          <w:szCs w:val="24"/>
          <w:lang w:val="en-US" w:eastAsia="zh-CN" w:bidi="ar-SA"/>
        </w:rPr>
        <w:t>研究教育法学本科阶段、研究生阶段的整体课程建设方案；</w:t>
      </w:r>
    </w:p>
    <w:p w14:paraId="7083EE5D">
      <w:pPr>
        <w:keepNext w:val="0"/>
        <w:keepLines w:val="0"/>
        <w:pageBreakBefore w:val="0"/>
        <w:widowControl w:val="0"/>
        <w:numPr>
          <w:numId w:val="0"/>
        </w:numPr>
        <w:kinsoku/>
        <w:wordWrap/>
        <w:overflowPunct/>
        <w:topLinePunct w:val="0"/>
        <w:autoSpaceDE/>
        <w:autoSpaceDN/>
        <w:bidi w:val="0"/>
        <w:adjustRightInd/>
        <w:snapToGrid/>
        <w:spacing w:after="0" w:line="560" w:lineRule="exact"/>
        <w:ind w:firstLine="640" w:firstLineChars="200"/>
        <w:jc w:val="both"/>
        <w:textAlignment w:val="auto"/>
        <w:rPr>
          <w:rFonts w:hint="eastAsia" w:ascii="仿宋" w:hAnsi="仿宋" w:eastAsia="仿宋" w:cs="仿宋"/>
          <w:b w:val="0"/>
          <w:kern w:val="2"/>
          <w:sz w:val="32"/>
          <w:szCs w:val="24"/>
          <w:lang w:val="en-US" w:eastAsia="zh-CN" w:bidi="ar-SA"/>
        </w:rPr>
      </w:pPr>
      <w:r>
        <w:rPr>
          <w:rFonts w:hint="eastAsia" w:ascii="仿宋" w:hAnsi="仿宋" w:eastAsia="仿宋" w:cs="仿宋"/>
          <w:b w:val="0"/>
          <w:kern w:val="2"/>
          <w:sz w:val="32"/>
          <w:szCs w:val="24"/>
          <w:lang w:val="en-US" w:eastAsia="zh-CN" w:bidi="ar-SA"/>
        </w:rPr>
        <w:t>·</w:t>
      </w:r>
      <w:r>
        <w:rPr>
          <w:rFonts w:hint="eastAsia" w:ascii="仿宋" w:hAnsi="仿宋" w:eastAsia="仿宋" w:cs="仿宋"/>
          <w:b w:val="0"/>
          <w:kern w:val="2"/>
          <w:sz w:val="32"/>
          <w:szCs w:val="24"/>
          <w:lang w:val="en-US" w:eastAsia="zh-CN" w:bidi="ar-SA"/>
        </w:rPr>
        <w:t>研究教育法学核心教材的编写与完善的路径。</w:t>
      </w:r>
    </w:p>
    <w:p w14:paraId="223BF8D0">
      <w:pPr>
        <w:keepNext w:val="0"/>
        <w:keepLines w:val="0"/>
        <w:pageBreakBefore w:val="0"/>
        <w:widowControl w:val="0"/>
        <w:numPr>
          <w:ilvl w:val="0"/>
          <w:numId w:val="0"/>
        </w:numPr>
        <w:kinsoku/>
        <w:wordWrap/>
        <w:overflowPunct/>
        <w:topLinePunct w:val="0"/>
        <w:autoSpaceDE/>
        <w:autoSpaceDN/>
        <w:bidi w:val="0"/>
        <w:adjustRightInd/>
        <w:snapToGrid/>
        <w:spacing w:before="0" w:line="560" w:lineRule="exact"/>
        <w:ind w:firstLine="643" w:firstLineChars="200"/>
        <w:jc w:val="both"/>
        <w:textAlignment w:val="auto"/>
        <w:rPr>
          <w:rFonts w:hint="eastAsia" w:ascii="仿宋" w:hAnsi="仿宋" w:eastAsia="仿宋" w:cs="仿宋"/>
          <w:b/>
          <w:bCs/>
          <w:kern w:val="2"/>
          <w:sz w:val="32"/>
          <w:szCs w:val="24"/>
          <w:lang w:val="en-US" w:eastAsia="zh-CN" w:bidi="ar-SA"/>
        </w:rPr>
      </w:pPr>
      <w:r>
        <w:rPr>
          <w:rFonts w:hint="eastAsia" w:ascii="仿宋" w:hAnsi="仿宋" w:eastAsia="仿宋" w:cs="仿宋"/>
          <w:b/>
          <w:bCs/>
          <w:kern w:val="2"/>
          <w:sz w:val="32"/>
          <w:szCs w:val="24"/>
          <w:lang w:val="en-US" w:eastAsia="zh-CN" w:bidi="ar-SA"/>
        </w:rPr>
        <w:t>5.教育法学学科体系建设的保障体系</w:t>
      </w:r>
    </w:p>
    <w:p w14:paraId="7EC979A5">
      <w:pPr>
        <w:keepNext w:val="0"/>
        <w:keepLines w:val="0"/>
        <w:pageBreakBefore w:val="0"/>
        <w:widowControl w:val="0"/>
        <w:numPr>
          <w:ilvl w:val="0"/>
          <w:numId w:val="0"/>
        </w:numPr>
        <w:kinsoku/>
        <w:wordWrap/>
        <w:overflowPunct/>
        <w:topLinePunct w:val="0"/>
        <w:autoSpaceDE/>
        <w:autoSpaceDN/>
        <w:bidi w:val="0"/>
        <w:adjustRightInd/>
        <w:snapToGrid/>
        <w:spacing w:before="0" w:line="560" w:lineRule="exact"/>
        <w:ind w:firstLine="643" w:firstLineChars="200"/>
        <w:jc w:val="both"/>
        <w:textAlignment w:val="auto"/>
        <w:rPr>
          <w:rFonts w:hint="eastAsia" w:ascii="仿宋" w:hAnsi="仿宋" w:eastAsia="仿宋" w:cs="仿宋"/>
          <w:b/>
          <w:bCs/>
          <w:kern w:val="2"/>
          <w:sz w:val="32"/>
          <w:szCs w:val="24"/>
          <w:lang w:val="en-US" w:eastAsia="zh-CN" w:bidi="ar-SA"/>
        </w:rPr>
      </w:pPr>
      <w:r>
        <w:rPr>
          <w:rFonts w:hint="eastAsia" w:ascii="仿宋" w:hAnsi="仿宋" w:eastAsia="仿宋" w:cs="仿宋"/>
          <w:b/>
          <w:bCs/>
          <w:kern w:val="2"/>
          <w:sz w:val="32"/>
          <w:szCs w:val="24"/>
          <w:lang w:val="en-US" w:eastAsia="zh-CN" w:bidi="ar-SA"/>
        </w:rPr>
        <w:t>主要任务：</w:t>
      </w:r>
    </w:p>
    <w:p w14:paraId="05FF43FC">
      <w:pPr>
        <w:keepNext w:val="0"/>
        <w:keepLines w:val="0"/>
        <w:pageBreakBefore w:val="0"/>
        <w:widowControl w:val="0"/>
        <w:numPr>
          <w:ilvl w:val="0"/>
          <w:numId w:val="0"/>
        </w:numPr>
        <w:kinsoku/>
        <w:wordWrap/>
        <w:overflowPunct/>
        <w:topLinePunct w:val="0"/>
        <w:autoSpaceDE/>
        <w:autoSpaceDN/>
        <w:bidi w:val="0"/>
        <w:adjustRightInd/>
        <w:snapToGrid/>
        <w:spacing w:before="0" w:line="560" w:lineRule="exact"/>
        <w:ind w:firstLine="640" w:firstLineChars="200"/>
        <w:jc w:val="both"/>
        <w:textAlignment w:val="auto"/>
        <w:rPr>
          <w:rFonts w:hint="eastAsia" w:ascii="仿宋" w:hAnsi="仿宋" w:eastAsia="仿宋" w:cs="仿宋"/>
          <w:b w:val="0"/>
          <w:kern w:val="2"/>
          <w:sz w:val="32"/>
          <w:szCs w:val="24"/>
          <w:lang w:val="en-US" w:eastAsia="zh-CN" w:bidi="ar-SA"/>
        </w:rPr>
      </w:pPr>
      <w:r>
        <w:rPr>
          <w:rFonts w:hint="eastAsia" w:ascii="仿宋" w:hAnsi="仿宋" w:eastAsia="仿宋" w:cs="仿宋"/>
          <w:b w:val="0"/>
          <w:kern w:val="2"/>
          <w:sz w:val="32"/>
          <w:szCs w:val="24"/>
          <w:lang w:val="en-US" w:eastAsia="zh-CN" w:bidi="ar-SA"/>
        </w:rPr>
        <w:t>提出保障教育法学学科体系落地实施的政策建议。</w:t>
      </w:r>
    </w:p>
    <w:p w14:paraId="1F928F38">
      <w:pPr>
        <w:keepNext w:val="0"/>
        <w:keepLines w:val="0"/>
        <w:pageBreakBefore w:val="0"/>
        <w:widowControl w:val="0"/>
        <w:numPr>
          <w:numId w:val="0"/>
        </w:numPr>
        <w:kinsoku/>
        <w:wordWrap/>
        <w:overflowPunct/>
        <w:topLinePunct w:val="0"/>
        <w:autoSpaceDE/>
        <w:autoSpaceDN/>
        <w:bidi w:val="0"/>
        <w:adjustRightInd/>
        <w:snapToGrid/>
        <w:spacing w:after="0" w:line="560" w:lineRule="exact"/>
        <w:ind w:firstLine="643" w:firstLineChars="200"/>
        <w:jc w:val="both"/>
        <w:textAlignment w:val="auto"/>
        <w:rPr>
          <w:rFonts w:hint="eastAsia" w:ascii="仿宋" w:hAnsi="仿宋" w:eastAsia="仿宋" w:cs="仿宋"/>
          <w:b/>
          <w:bCs/>
          <w:kern w:val="2"/>
          <w:sz w:val="32"/>
          <w:szCs w:val="24"/>
          <w:lang w:val="en-US" w:eastAsia="zh-CN" w:bidi="ar-SA"/>
        </w:rPr>
      </w:pPr>
      <w:r>
        <w:rPr>
          <w:rFonts w:hint="eastAsia" w:ascii="仿宋" w:hAnsi="仿宋" w:eastAsia="仿宋" w:cs="仿宋"/>
          <w:b/>
          <w:bCs/>
          <w:kern w:val="2"/>
          <w:sz w:val="32"/>
          <w:szCs w:val="24"/>
          <w:lang w:val="en-US" w:eastAsia="zh-CN" w:bidi="ar-SA"/>
        </w:rPr>
        <w:t>具体方向：</w:t>
      </w:r>
    </w:p>
    <w:p w14:paraId="0699A1FD">
      <w:pPr>
        <w:keepNext w:val="0"/>
        <w:keepLines w:val="0"/>
        <w:pageBreakBefore w:val="0"/>
        <w:widowControl w:val="0"/>
        <w:numPr>
          <w:numId w:val="0"/>
        </w:numPr>
        <w:kinsoku/>
        <w:wordWrap/>
        <w:overflowPunct/>
        <w:topLinePunct w:val="0"/>
        <w:autoSpaceDE/>
        <w:autoSpaceDN/>
        <w:bidi w:val="0"/>
        <w:adjustRightInd/>
        <w:snapToGrid/>
        <w:spacing w:after="0" w:line="560" w:lineRule="exact"/>
        <w:ind w:firstLine="640" w:firstLineChars="200"/>
        <w:jc w:val="both"/>
        <w:textAlignment w:val="auto"/>
        <w:rPr>
          <w:rFonts w:hint="eastAsia" w:ascii="仿宋" w:hAnsi="仿宋" w:eastAsia="仿宋" w:cs="仿宋"/>
          <w:b w:val="0"/>
          <w:kern w:val="2"/>
          <w:sz w:val="32"/>
          <w:szCs w:val="24"/>
          <w:lang w:val="en-US" w:eastAsia="zh-CN" w:bidi="ar-SA"/>
        </w:rPr>
      </w:pPr>
      <w:r>
        <w:rPr>
          <w:rFonts w:hint="eastAsia" w:ascii="仿宋" w:hAnsi="仿宋" w:eastAsia="仿宋" w:cs="仿宋"/>
          <w:b w:val="0"/>
          <w:kern w:val="2"/>
          <w:sz w:val="32"/>
          <w:szCs w:val="24"/>
          <w:lang w:val="en-US" w:eastAsia="zh-CN" w:bidi="ar-SA"/>
        </w:rPr>
        <w:t>·</w:t>
      </w:r>
      <w:r>
        <w:rPr>
          <w:rFonts w:hint="eastAsia" w:ascii="仿宋" w:hAnsi="仿宋" w:eastAsia="仿宋" w:cs="仿宋"/>
          <w:b w:val="0"/>
          <w:kern w:val="2"/>
          <w:sz w:val="32"/>
          <w:szCs w:val="24"/>
          <w:lang w:val="en-US" w:eastAsia="zh-CN" w:bidi="ar-SA"/>
        </w:rPr>
        <w:t>研究教育法学学科师资队伍建设方案；</w:t>
      </w:r>
    </w:p>
    <w:p w14:paraId="4D72EC5B">
      <w:pPr>
        <w:keepNext w:val="0"/>
        <w:keepLines w:val="0"/>
        <w:pageBreakBefore w:val="0"/>
        <w:widowControl w:val="0"/>
        <w:numPr>
          <w:numId w:val="0"/>
        </w:numPr>
        <w:kinsoku/>
        <w:wordWrap/>
        <w:overflowPunct/>
        <w:topLinePunct w:val="0"/>
        <w:autoSpaceDE/>
        <w:autoSpaceDN/>
        <w:bidi w:val="0"/>
        <w:adjustRightInd/>
        <w:snapToGrid/>
        <w:spacing w:after="0" w:line="560" w:lineRule="exact"/>
        <w:ind w:firstLine="640" w:firstLineChars="200"/>
        <w:jc w:val="both"/>
        <w:textAlignment w:val="auto"/>
        <w:rPr>
          <w:rFonts w:hint="eastAsia" w:ascii="仿宋" w:hAnsi="仿宋" w:eastAsia="仿宋" w:cs="仿宋"/>
          <w:b w:val="0"/>
          <w:kern w:val="2"/>
          <w:sz w:val="32"/>
          <w:szCs w:val="24"/>
          <w:lang w:val="en-US" w:eastAsia="zh-CN" w:bidi="ar-SA"/>
        </w:rPr>
      </w:pPr>
      <w:r>
        <w:rPr>
          <w:rFonts w:hint="eastAsia" w:ascii="仿宋" w:hAnsi="仿宋" w:eastAsia="仿宋" w:cs="仿宋"/>
          <w:b w:val="0"/>
          <w:kern w:val="2"/>
          <w:sz w:val="32"/>
          <w:szCs w:val="24"/>
          <w:lang w:val="en-US" w:eastAsia="zh-CN" w:bidi="ar-SA"/>
        </w:rPr>
        <w:t>·</w:t>
      </w:r>
      <w:r>
        <w:rPr>
          <w:rFonts w:hint="eastAsia" w:ascii="仿宋" w:hAnsi="仿宋" w:eastAsia="仿宋" w:cs="仿宋"/>
          <w:b w:val="0"/>
          <w:kern w:val="2"/>
          <w:sz w:val="32"/>
          <w:szCs w:val="24"/>
          <w:lang w:val="en-US" w:eastAsia="zh-CN" w:bidi="ar-SA"/>
        </w:rPr>
        <w:t>研究教育法学学科人才培养方案；</w:t>
      </w:r>
    </w:p>
    <w:p w14:paraId="4DCDEA29">
      <w:pPr>
        <w:keepNext w:val="0"/>
        <w:keepLines w:val="0"/>
        <w:pageBreakBefore w:val="0"/>
        <w:widowControl w:val="0"/>
        <w:numPr>
          <w:numId w:val="0"/>
        </w:numPr>
        <w:kinsoku/>
        <w:wordWrap/>
        <w:overflowPunct/>
        <w:topLinePunct w:val="0"/>
        <w:autoSpaceDE/>
        <w:autoSpaceDN/>
        <w:bidi w:val="0"/>
        <w:adjustRightInd/>
        <w:snapToGrid/>
        <w:spacing w:after="0" w:line="560" w:lineRule="exact"/>
        <w:ind w:firstLine="640" w:firstLineChars="200"/>
        <w:jc w:val="both"/>
        <w:textAlignment w:val="auto"/>
        <w:rPr>
          <w:rFonts w:hint="eastAsia" w:ascii="仿宋" w:hAnsi="仿宋" w:eastAsia="仿宋" w:cs="仿宋"/>
          <w:b w:val="0"/>
          <w:kern w:val="2"/>
          <w:sz w:val="32"/>
          <w:szCs w:val="24"/>
          <w:lang w:val="en-US" w:eastAsia="zh-CN" w:bidi="ar-SA"/>
        </w:rPr>
      </w:pPr>
      <w:r>
        <w:rPr>
          <w:rFonts w:hint="eastAsia" w:ascii="仿宋" w:hAnsi="仿宋" w:eastAsia="仿宋" w:cs="仿宋"/>
          <w:b w:val="0"/>
          <w:kern w:val="2"/>
          <w:sz w:val="32"/>
          <w:szCs w:val="24"/>
          <w:lang w:val="en-US" w:eastAsia="zh-CN" w:bidi="ar-SA"/>
        </w:rPr>
        <w:t>·</w:t>
      </w:r>
      <w:r>
        <w:rPr>
          <w:rFonts w:hint="eastAsia" w:ascii="仿宋" w:hAnsi="仿宋" w:eastAsia="仿宋" w:cs="仿宋"/>
          <w:b w:val="0"/>
          <w:kern w:val="2"/>
          <w:sz w:val="32"/>
          <w:szCs w:val="24"/>
          <w:lang w:val="en-US" w:eastAsia="zh-CN" w:bidi="ar-SA"/>
        </w:rPr>
        <w:t>研究教育法学学科建设的制度与机制保障。</w:t>
      </w:r>
    </w:p>
    <w:p w14:paraId="345E1860">
      <w:pPr>
        <w:numPr>
          <w:ilvl w:val="0"/>
          <w:numId w:val="0"/>
        </w:numPr>
        <w:ind w:firstLine="640" w:firstLineChars="200"/>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成果形式</w:t>
      </w:r>
    </w:p>
    <w:p w14:paraId="2AF2DA54">
      <w:pPr>
        <w:keepNext w:val="0"/>
        <w:keepLines w:val="0"/>
        <w:pageBreakBefore w:val="0"/>
        <w:widowControl w:val="0"/>
        <w:numPr>
          <w:numId w:val="0"/>
        </w:numPr>
        <w:kinsoku/>
        <w:wordWrap/>
        <w:overflowPunct/>
        <w:topLinePunct w:val="0"/>
        <w:autoSpaceDE/>
        <w:autoSpaceDN/>
        <w:bidi w:val="0"/>
        <w:adjustRightInd/>
        <w:snapToGrid/>
        <w:spacing w:after="0" w:line="560" w:lineRule="exact"/>
        <w:ind w:firstLine="640" w:firstLineChars="200"/>
        <w:jc w:val="both"/>
        <w:textAlignment w:val="auto"/>
        <w:rPr>
          <w:rFonts w:hint="eastAsia" w:ascii="仿宋" w:hAnsi="仿宋" w:eastAsia="仿宋" w:cs="仿宋"/>
          <w:b w:val="0"/>
          <w:kern w:val="2"/>
          <w:sz w:val="32"/>
          <w:szCs w:val="24"/>
          <w:lang w:val="en-US" w:eastAsia="zh-CN" w:bidi="ar-SA"/>
        </w:rPr>
      </w:pPr>
      <w:r>
        <w:rPr>
          <w:rFonts w:hint="eastAsia" w:ascii="仿宋" w:hAnsi="仿宋" w:eastAsia="仿宋" w:cs="仿宋"/>
          <w:b w:val="0"/>
          <w:kern w:val="2"/>
          <w:sz w:val="32"/>
          <w:szCs w:val="24"/>
          <w:lang w:val="en-US" w:eastAsia="zh-CN" w:bidi="ar-SA"/>
        </w:rPr>
        <w:t>·</w:t>
      </w:r>
      <w:r>
        <w:rPr>
          <w:rFonts w:hint="eastAsia" w:ascii="仿宋" w:hAnsi="仿宋" w:eastAsia="仿宋" w:cs="仿宋"/>
          <w:b/>
          <w:bCs/>
          <w:kern w:val="2"/>
          <w:sz w:val="32"/>
          <w:szCs w:val="24"/>
          <w:lang w:val="en-US" w:eastAsia="zh-CN" w:bidi="ar-SA"/>
        </w:rPr>
        <w:t>决策咨询报告：</w:t>
      </w:r>
      <w:r>
        <w:rPr>
          <w:rFonts w:hint="eastAsia" w:ascii="仿宋" w:hAnsi="仿宋" w:eastAsia="仿宋" w:cs="仿宋"/>
          <w:b w:val="0"/>
          <w:kern w:val="2"/>
          <w:sz w:val="32"/>
          <w:szCs w:val="24"/>
          <w:lang w:val="en-US" w:eastAsia="zh-CN" w:bidi="ar-SA"/>
        </w:rPr>
        <w:t>针对教育法学学科建设中相关问题形成决策咨询报告，供政府部门参考。</w:t>
      </w:r>
    </w:p>
    <w:p w14:paraId="28745185">
      <w:pPr>
        <w:keepNext w:val="0"/>
        <w:keepLines w:val="0"/>
        <w:pageBreakBefore w:val="0"/>
        <w:widowControl w:val="0"/>
        <w:numPr>
          <w:numId w:val="0"/>
        </w:numPr>
        <w:kinsoku/>
        <w:wordWrap/>
        <w:overflowPunct/>
        <w:topLinePunct w:val="0"/>
        <w:autoSpaceDE/>
        <w:autoSpaceDN/>
        <w:bidi w:val="0"/>
        <w:adjustRightInd/>
        <w:snapToGrid/>
        <w:spacing w:after="0" w:line="560" w:lineRule="exact"/>
        <w:ind w:firstLine="640" w:firstLineChars="200"/>
        <w:jc w:val="both"/>
        <w:textAlignment w:val="auto"/>
        <w:rPr>
          <w:rFonts w:hint="eastAsia" w:ascii="仿宋" w:hAnsi="仿宋" w:eastAsia="仿宋" w:cs="仿宋"/>
          <w:b w:val="0"/>
          <w:kern w:val="2"/>
          <w:sz w:val="32"/>
          <w:szCs w:val="24"/>
          <w:lang w:val="en-US" w:eastAsia="zh-CN" w:bidi="ar-SA"/>
        </w:rPr>
      </w:pPr>
      <w:r>
        <w:rPr>
          <w:rFonts w:hint="eastAsia" w:ascii="仿宋" w:hAnsi="仿宋" w:eastAsia="仿宋" w:cs="仿宋"/>
          <w:b w:val="0"/>
          <w:kern w:val="2"/>
          <w:sz w:val="32"/>
          <w:szCs w:val="24"/>
          <w:lang w:val="en-US" w:eastAsia="zh-CN" w:bidi="ar-SA"/>
        </w:rPr>
        <w:t>·</w:t>
      </w:r>
      <w:r>
        <w:rPr>
          <w:rFonts w:hint="eastAsia" w:ascii="仿宋" w:hAnsi="仿宋" w:eastAsia="仿宋" w:cs="仿宋"/>
          <w:b/>
          <w:bCs/>
          <w:kern w:val="2"/>
          <w:sz w:val="32"/>
          <w:szCs w:val="24"/>
          <w:lang w:val="en-US" w:eastAsia="zh-CN" w:bidi="ar-SA"/>
        </w:rPr>
        <w:t>专题报告：</w:t>
      </w:r>
      <w:r>
        <w:rPr>
          <w:rFonts w:hint="eastAsia" w:ascii="仿宋" w:hAnsi="仿宋" w:eastAsia="仿宋" w:cs="仿宋"/>
          <w:b w:val="0"/>
          <w:kern w:val="2"/>
          <w:sz w:val="32"/>
          <w:szCs w:val="24"/>
          <w:lang w:val="en-US" w:eastAsia="zh-CN" w:bidi="ar-SA"/>
        </w:rPr>
        <w:t>针对教育法学学科体系建设的理论基础、教育法学的理论基础等形成专题报告。</w:t>
      </w:r>
    </w:p>
    <w:p w14:paraId="21FCCCD9">
      <w:pPr>
        <w:keepNext w:val="0"/>
        <w:keepLines w:val="0"/>
        <w:pageBreakBefore w:val="0"/>
        <w:widowControl w:val="0"/>
        <w:numPr>
          <w:numId w:val="0"/>
        </w:numPr>
        <w:kinsoku/>
        <w:wordWrap/>
        <w:overflowPunct/>
        <w:topLinePunct w:val="0"/>
        <w:autoSpaceDE/>
        <w:autoSpaceDN/>
        <w:bidi w:val="0"/>
        <w:adjustRightInd/>
        <w:snapToGrid/>
        <w:spacing w:after="0" w:line="560" w:lineRule="exact"/>
        <w:ind w:firstLine="640" w:firstLineChars="200"/>
        <w:jc w:val="both"/>
        <w:textAlignment w:val="auto"/>
        <w:rPr>
          <w:rFonts w:hint="eastAsia" w:ascii="仿宋" w:hAnsi="仿宋" w:eastAsia="仿宋" w:cs="仿宋"/>
          <w:b w:val="0"/>
          <w:kern w:val="2"/>
          <w:sz w:val="32"/>
          <w:szCs w:val="24"/>
          <w:lang w:val="en-US" w:eastAsia="zh-CN" w:bidi="ar-SA"/>
        </w:rPr>
      </w:pPr>
      <w:r>
        <w:rPr>
          <w:rFonts w:hint="eastAsia" w:ascii="仿宋" w:hAnsi="仿宋" w:eastAsia="仿宋" w:cs="仿宋"/>
          <w:b w:val="0"/>
          <w:kern w:val="2"/>
          <w:sz w:val="32"/>
          <w:szCs w:val="24"/>
          <w:lang w:val="en-US" w:eastAsia="zh-CN" w:bidi="ar-SA"/>
        </w:rPr>
        <w:t>·</w:t>
      </w:r>
      <w:r>
        <w:rPr>
          <w:rFonts w:hint="eastAsia" w:ascii="仿宋" w:hAnsi="仿宋" w:eastAsia="仿宋" w:cs="仿宋"/>
          <w:b/>
          <w:bCs/>
          <w:kern w:val="2"/>
          <w:sz w:val="32"/>
          <w:szCs w:val="24"/>
          <w:lang w:val="en-US" w:eastAsia="zh-CN" w:bidi="ar-SA"/>
        </w:rPr>
        <w:t>教育法学核心教材纲要：</w:t>
      </w:r>
      <w:r>
        <w:rPr>
          <w:rFonts w:hint="eastAsia" w:ascii="仿宋" w:hAnsi="仿宋" w:eastAsia="仿宋" w:cs="仿宋"/>
          <w:b w:val="0"/>
          <w:kern w:val="2"/>
          <w:sz w:val="32"/>
          <w:szCs w:val="24"/>
          <w:lang w:val="en-US" w:eastAsia="zh-CN" w:bidi="ar-SA"/>
        </w:rPr>
        <w:t>根据研究成果形成各学段教育法学核心教材主要内容。</w:t>
      </w:r>
    </w:p>
    <w:p w14:paraId="3E9B0B52">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校园安全立法研究（重点）</w:t>
      </w:r>
    </w:p>
    <w:p w14:paraId="49CADDD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pPr>
      <w:r>
        <w:rPr>
          <w:rFonts w:hint="eastAsia" w:ascii="楷体" w:hAnsi="楷体" w:eastAsia="楷体" w:cs="楷体"/>
          <w:sz w:val="32"/>
          <w:szCs w:val="32"/>
          <w:lang w:val="en-US" w:eastAsia="zh-CN"/>
        </w:rPr>
        <w:t>指南意图</w:t>
      </w:r>
    </w:p>
    <w:p w14:paraId="4C2FDE4E">
      <w:pPr>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643" w:firstLineChars="200"/>
        <w:jc w:val="both"/>
        <w:textAlignment w:val="auto"/>
        <w:rPr>
          <w:rFonts w:hint="eastAsia" w:ascii="仿宋" w:hAnsi="仿宋" w:eastAsia="仿宋" w:cs="仿宋"/>
          <w:b/>
          <w:bCs/>
          <w:kern w:val="2"/>
          <w:sz w:val="32"/>
          <w:szCs w:val="24"/>
          <w:lang w:val="en-US" w:eastAsia="zh-CN" w:bidi="ar-SA"/>
        </w:rPr>
      </w:pPr>
      <w:r>
        <w:rPr>
          <w:rFonts w:hint="eastAsia" w:ascii="仿宋" w:hAnsi="仿宋" w:eastAsia="仿宋" w:cs="仿宋"/>
          <w:b/>
          <w:bCs/>
          <w:kern w:val="2"/>
          <w:sz w:val="32"/>
          <w:szCs w:val="24"/>
          <w:lang w:val="en-US" w:eastAsia="zh-CN" w:bidi="ar-SA"/>
        </w:rPr>
        <w:t>1.我国校园安全法律制度现状与问题研究</w:t>
      </w:r>
    </w:p>
    <w:p w14:paraId="2953EFCE">
      <w:pPr>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643" w:firstLineChars="200"/>
        <w:jc w:val="both"/>
        <w:textAlignment w:val="auto"/>
        <w:rPr>
          <w:rFonts w:hint="eastAsia" w:ascii="仿宋" w:hAnsi="仿宋" w:eastAsia="仿宋" w:cs="仿宋"/>
          <w:b/>
          <w:bCs/>
          <w:kern w:val="2"/>
          <w:sz w:val="32"/>
          <w:szCs w:val="24"/>
          <w:lang w:val="en-US" w:eastAsia="zh-CN" w:bidi="ar-SA"/>
        </w:rPr>
      </w:pPr>
      <w:r>
        <w:rPr>
          <w:rFonts w:hint="eastAsia" w:ascii="仿宋" w:hAnsi="仿宋" w:eastAsia="仿宋" w:cs="仿宋"/>
          <w:b/>
          <w:bCs/>
          <w:kern w:val="2"/>
          <w:sz w:val="32"/>
          <w:szCs w:val="24"/>
          <w:lang w:val="en-US" w:eastAsia="zh-CN" w:bidi="ar-SA"/>
        </w:rPr>
        <w:t>主要任务：</w:t>
      </w:r>
    </w:p>
    <w:p w14:paraId="7B16014A">
      <w:pPr>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640" w:firstLineChars="200"/>
        <w:jc w:val="both"/>
        <w:textAlignment w:val="auto"/>
        <w:rPr>
          <w:rFonts w:hint="eastAsia" w:ascii="仿宋" w:hAnsi="仿宋" w:eastAsia="仿宋" w:cs="仿宋"/>
          <w:b w:val="0"/>
          <w:kern w:val="2"/>
          <w:sz w:val="32"/>
          <w:szCs w:val="24"/>
          <w:lang w:val="en-US" w:eastAsia="zh-CN" w:bidi="ar-SA"/>
        </w:rPr>
      </w:pPr>
      <w:r>
        <w:rPr>
          <w:rFonts w:hint="eastAsia" w:ascii="仿宋" w:hAnsi="仿宋" w:eastAsia="仿宋" w:cs="仿宋"/>
          <w:b w:val="0"/>
          <w:kern w:val="2"/>
          <w:sz w:val="32"/>
          <w:szCs w:val="24"/>
          <w:lang w:val="en-US" w:eastAsia="zh-CN" w:bidi="ar-SA"/>
        </w:rPr>
        <w:t>立足我国校园安全现状，系统诊断校园安全法律制度存在的问题，评估立法必要性。</w:t>
      </w:r>
    </w:p>
    <w:p w14:paraId="430CF8FD">
      <w:pPr>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643" w:firstLineChars="200"/>
        <w:jc w:val="both"/>
        <w:textAlignment w:val="auto"/>
        <w:rPr>
          <w:rFonts w:hint="eastAsia" w:ascii="仿宋" w:hAnsi="仿宋" w:eastAsia="仿宋" w:cs="仿宋"/>
          <w:b/>
          <w:bCs/>
          <w:kern w:val="2"/>
          <w:sz w:val="32"/>
          <w:szCs w:val="24"/>
          <w:lang w:val="en-US" w:eastAsia="zh-CN" w:bidi="ar-SA"/>
        </w:rPr>
      </w:pPr>
      <w:r>
        <w:rPr>
          <w:rFonts w:hint="eastAsia" w:ascii="仿宋" w:hAnsi="仿宋" w:eastAsia="仿宋" w:cs="仿宋"/>
          <w:b/>
          <w:bCs/>
          <w:kern w:val="2"/>
          <w:sz w:val="32"/>
          <w:szCs w:val="24"/>
          <w:lang w:val="en-US" w:eastAsia="zh-CN" w:bidi="ar-SA"/>
        </w:rPr>
        <w:t>具体方向：</w:t>
      </w:r>
    </w:p>
    <w:p w14:paraId="1B940B77">
      <w:pPr>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640" w:firstLineChars="200"/>
        <w:jc w:val="both"/>
        <w:textAlignment w:val="auto"/>
        <w:rPr>
          <w:rFonts w:hint="eastAsia" w:ascii="仿宋" w:hAnsi="仿宋" w:eastAsia="仿宋" w:cs="仿宋"/>
          <w:b w:val="0"/>
          <w:kern w:val="2"/>
          <w:sz w:val="32"/>
          <w:szCs w:val="24"/>
          <w:lang w:val="en-US" w:eastAsia="zh-CN" w:bidi="ar-SA"/>
        </w:rPr>
      </w:pPr>
      <w:r>
        <w:rPr>
          <w:rFonts w:hint="eastAsia" w:ascii="仿宋" w:hAnsi="仿宋" w:eastAsia="仿宋" w:cs="仿宋"/>
          <w:b w:val="0"/>
          <w:kern w:val="2"/>
          <w:sz w:val="32"/>
          <w:szCs w:val="24"/>
          <w:lang w:val="en-US" w:eastAsia="zh-CN" w:bidi="ar-SA"/>
        </w:rPr>
        <w:t>·对校园安全法律规范体系的现状与存在的问题进行研究，包括核心安全领域的制度覆盖缺口、关键领域制度空白与滞后性评估等领域。</w:t>
      </w:r>
    </w:p>
    <w:p w14:paraId="1D713927">
      <w:pPr>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640" w:firstLineChars="200"/>
        <w:jc w:val="both"/>
        <w:textAlignment w:val="auto"/>
        <w:rPr>
          <w:rFonts w:hint="eastAsia" w:ascii="仿宋" w:hAnsi="仿宋" w:eastAsia="仿宋" w:cs="仿宋"/>
          <w:b w:val="0"/>
          <w:kern w:val="2"/>
          <w:sz w:val="32"/>
          <w:szCs w:val="24"/>
          <w:lang w:val="en-US" w:eastAsia="zh-CN" w:bidi="ar-SA"/>
        </w:rPr>
      </w:pPr>
      <w:r>
        <w:rPr>
          <w:rFonts w:hint="eastAsia" w:ascii="仿宋" w:hAnsi="仿宋" w:eastAsia="仿宋" w:cs="仿宋"/>
          <w:b w:val="0"/>
          <w:kern w:val="2"/>
          <w:sz w:val="32"/>
          <w:szCs w:val="24"/>
          <w:lang w:val="en-US" w:eastAsia="zh-CN" w:bidi="ar-SA"/>
        </w:rPr>
        <w:t>·对地方校园安全立法的现状与存在的问题进行研究。</w:t>
      </w:r>
    </w:p>
    <w:p w14:paraId="5C487C5E">
      <w:pPr>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640" w:firstLineChars="200"/>
        <w:jc w:val="both"/>
        <w:textAlignment w:val="auto"/>
        <w:rPr>
          <w:rFonts w:hint="eastAsia" w:ascii="仿宋" w:hAnsi="仿宋" w:eastAsia="仿宋" w:cs="仿宋"/>
          <w:b w:val="0"/>
          <w:kern w:val="2"/>
          <w:sz w:val="32"/>
          <w:szCs w:val="24"/>
          <w:lang w:val="en-US" w:eastAsia="zh-CN" w:bidi="ar-SA"/>
        </w:rPr>
      </w:pPr>
      <w:r>
        <w:rPr>
          <w:rFonts w:hint="eastAsia" w:ascii="仿宋" w:hAnsi="仿宋" w:eastAsia="仿宋" w:cs="仿宋"/>
          <w:b w:val="0"/>
          <w:kern w:val="2"/>
          <w:sz w:val="32"/>
          <w:szCs w:val="24"/>
          <w:lang w:val="en-US" w:eastAsia="zh-CN" w:bidi="ar-SA"/>
        </w:rPr>
        <w:t>·完善校园安全立法的必要性与可行性研究。</w:t>
      </w:r>
    </w:p>
    <w:p w14:paraId="08C31238">
      <w:pPr>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643" w:firstLineChars="200"/>
        <w:jc w:val="both"/>
        <w:textAlignment w:val="auto"/>
        <w:rPr>
          <w:rFonts w:hint="eastAsia" w:ascii="仿宋" w:hAnsi="仿宋" w:eastAsia="仿宋" w:cs="仿宋"/>
          <w:b/>
          <w:bCs/>
          <w:kern w:val="2"/>
          <w:sz w:val="32"/>
          <w:szCs w:val="24"/>
          <w:lang w:val="en-US" w:eastAsia="zh-CN" w:bidi="ar-SA"/>
        </w:rPr>
      </w:pPr>
      <w:r>
        <w:rPr>
          <w:rFonts w:hint="eastAsia" w:ascii="仿宋" w:hAnsi="仿宋" w:eastAsia="仿宋" w:cs="仿宋"/>
          <w:b/>
          <w:bCs/>
          <w:kern w:val="2"/>
          <w:sz w:val="32"/>
          <w:szCs w:val="24"/>
          <w:lang w:val="en-US" w:eastAsia="zh-CN" w:bidi="ar-SA"/>
        </w:rPr>
        <w:t>2.域外校园安全立法比较研究</w:t>
      </w:r>
    </w:p>
    <w:p w14:paraId="7ED38FEB">
      <w:pPr>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643" w:firstLineChars="200"/>
        <w:jc w:val="both"/>
        <w:textAlignment w:val="auto"/>
        <w:rPr>
          <w:rFonts w:hint="eastAsia" w:ascii="仿宋" w:hAnsi="仿宋" w:eastAsia="仿宋" w:cs="仿宋"/>
          <w:b/>
          <w:bCs/>
          <w:kern w:val="2"/>
          <w:sz w:val="32"/>
          <w:szCs w:val="24"/>
          <w:lang w:val="en-US" w:eastAsia="zh-CN" w:bidi="ar-SA"/>
        </w:rPr>
      </w:pPr>
      <w:r>
        <w:rPr>
          <w:rFonts w:hint="eastAsia" w:ascii="仿宋" w:hAnsi="仿宋" w:eastAsia="仿宋" w:cs="仿宋"/>
          <w:b/>
          <w:bCs/>
          <w:kern w:val="2"/>
          <w:sz w:val="32"/>
          <w:szCs w:val="24"/>
          <w:lang w:val="en-US" w:eastAsia="zh-CN" w:bidi="ar-SA"/>
        </w:rPr>
        <w:t>主要任务：</w:t>
      </w:r>
    </w:p>
    <w:p w14:paraId="071A9853">
      <w:pPr>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640" w:firstLineChars="200"/>
        <w:jc w:val="both"/>
        <w:textAlignment w:val="auto"/>
        <w:rPr>
          <w:rFonts w:hint="eastAsia" w:ascii="仿宋" w:hAnsi="仿宋" w:eastAsia="仿宋" w:cs="仿宋"/>
          <w:b w:val="0"/>
          <w:kern w:val="2"/>
          <w:sz w:val="32"/>
          <w:szCs w:val="24"/>
          <w:lang w:val="en-US" w:eastAsia="zh-CN" w:bidi="ar-SA"/>
        </w:rPr>
      </w:pPr>
      <w:r>
        <w:rPr>
          <w:rFonts w:hint="eastAsia" w:ascii="仿宋" w:hAnsi="仿宋" w:eastAsia="仿宋" w:cs="仿宋"/>
          <w:b w:val="0"/>
          <w:kern w:val="2"/>
          <w:sz w:val="32"/>
          <w:szCs w:val="24"/>
          <w:lang w:val="en-US" w:eastAsia="zh-CN" w:bidi="ar-SA"/>
        </w:rPr>
        <w:t>借鉴域外校园安全立法的优势经验和做法。</w:t>
      </w:r>
    </w:p>
    <w:p w14:paraId="1251AA93">
      <w:pPr>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643" w:firstLineChars="200"/>
        <w:jc w:val="both"/>
        <w:textAlignment w:val="auto"/>
        <w:rPr>
          <w:rFonts w:hint="eastAsia" w:ascii="仿宋" w:hAnsi="仿宋" w:eastAsia="仿宋" w:cs="仿宋"/>
          <w:b/>
          <w:bCs/>
          <w:kern w:val="2"/>
          <w:sz w:val="32"/>
          <w:szCs w:val="24"/>
          <w:lang w:val="en-US" w:eastAsia="zh-CN" w:bidi="ar-SA"/>
        </w:rPr>
      </w:pPr>
      <w:r>
        <w:rPr>
          <w:rFonts w:hint="eastAsia" w:ascii="仿宋" w:hAnsi="仿宋" w:eastAsia="仿宋" w:cs="仿宋"/>
          <w:b/>
          <w:bCs/>
          <w:kern w:val="2"/>
          <w:sz w:val="32"/>
          <w:szCs w:val="24"/>
          <w:lang w:val="en-US" w:eastAsia="zh-CN" w:bidi="ar-SA"/>
        </w:rPr>
        <w:t>具体方向：</w:t>
      </w:r>
    </w:p>
    <w:p w14:paraId="09ED172C">
      <w:pPr>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640" w:firstLineChars="200"/>
        <w:jc w:val="both"/>
        <w:textAlignment w:val="auto"/>
        <w:rPr>
          <w:rFonts w:hint="eastAsia" w:ascii="仿宋" w:hAnsi="仿宋" w:eastAsia="仿宋" w:cs="仿宋"/>
          <w:b w:val="0"/>
          <w:kern w:val="2"/>
          <w:sz w:val="32"/>
          <w:szCs w:val="24"/>
          <w:lang w:val="en-US" w:eastAsia="zh-CN" w:bidi="ar-SA"/>
        </w:rPr>
      </w:pPr>
      <w:r>
        <w:rPr>
          <w:rFonts w:hint="eastAsia" w:ascii="仿宋" w:hAnsi="仿宋" w:eastAsia="仿宋" w:cs="仿宋"/>
          <w:b w:val="0"/>
          <w:kern w:val="2"/>
          <w:sz w:val="32"/>
          <w:szCs w:val="24"/>
          <w:lang w:val="en-US" w:eastAsia="zh-CN" w:bidi="ar-SA"/>
        </w:rPr>
        <w:t>·域外校园安全立法模式的分类与比较研究。</w:t>
      </w:r>
    </w:p>
    <w:p w14:paraId="61BC9804">
      <w:pPr>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640" w:firstLineChars="200"/>
        <w:jc w:val="both"/>
        <w:textAlignment w:val="auto"/>
        <w:rPr>
          <w:rFonts w:hint="eastAsia" w:ascii="仿宋" w:hAnsi="仿宋" w:eastAsia="仿宋" w:cs="仿宋"/>
          <w:b w:val="0"/>
          <w:kern w:val="2"/>
          <w:sz w:val="32"/>
          <w:szCs w:val="24"/>
          <w:lang w:val="en-US" w:eastAsia="zh-CN" w:bidi="ar-SA"/>
        </w:rPr>
      </w:pPr>
      <w:r>
        <w:rPr>
          <w:rFonts w:hint="eastAsia" w:ascii="仿宋" w:hAnsi="仿宋" w:eastAsia="仿宋" w:cs="仿宋"/>
          <w:b w:val="0"/>
          <w:kern w:val="2"/>
          <w:sz w:val="32"/>
          <w:szCs w:val="24"/>
          <w:lang w:val="en-US" w:eastAsia="zh-CN" w:bidi="ar-SA"/>
        </w:rPr>
        <w:t>·域外校园安全法律制度的内容与运行机制比较研究。</w:t>
      </w:r>
    </w:p>
    <w:p w14:paraId="7C26A458">
      <w:pPr>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640" w:firstLineChars="200"/>
        <w:jc w:val="both"/>
        <w:textAlignment w:val="auto"/>
        <w:rPr>
          <w:rFonts w:hint="eastAsia" w:ascii="仿宋" w:hAnsi="仿宋" w:eastAsia="仿宋" w:cs="仿宋"/>
          <w:b w:val="0"/>
          <w:kern w:val="2"/>
          <w:sz w:val="32"/>
          <w:szCs w:val="24"/>
          <w:lang w:val="en-US" w:eastAsia="zh-CN" w:bidi="ar-SA"/>
        </w:rPr>
      </w:pPr>
      <w:r>
        <w:rPr>
          <w:rFonts w:hint="eastAsia" w:ascii="仿宋" w:hAnsi="仿宋" w:eastAsia="仿宋" w:cs="仿宋"/>
          <w:b w:val="0"/>
          <w:kern w:val="2"/>
          <w:sz w:val="32"/>
          <w:szCs w:val="24"/>
          <w:lang w:val="en-US" w:eastAsia="zh-CN" w:bidi="ar-SA"/>
        </w:rPr>
        <w:t>·域外校园安全立法的经验总结。</w:t>
      </w:r>
    </w:p>
    <w:p w14:paraId="175F5FCE">
      <w:pPr>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643" w:firstLineChars="200"/>
        <w:jc w:val="both"/>
        <w:textAlignment w:val="auto"/>
        <w:rPr>
          <w:rFonts w:hint="eastAsia" w:ascii="仿宋" w:hAnsi="仿宋" w:eastAsia="仿宋" w:cs="仿宋"/>
          <w:b/>
          <w:bCs/>
          <w:kern w:val="2"/>
          <w:sz w:val="32"/>
          <w:szCs w:val="24"/>
          <w:lang w:val="en-US" w:eastAsia="zh-CN" w:bidi="ar-SA"/>
        </w:rPr>
      </w:pPr>
      <w:r>
        <w:rPr>
          <w:rFonts w:hint="eastAsia" w:ascii="仿宋" w:hAnsi="仿宋" w:eastAsia="仿宋" w:cs="仿宋"/>
          <w:b/>
          <w:bCs/>
          <w:kern w:val="2"/>
          <w:sz w:val="32"/>
          <w:szCs w:val="24"/>
          <w:lang w:val="en-US" w:eastAsia="zh-CN" w:bidi="ar-SA"/>
        </w:rPr>
        <w:t>3.校园安全立法的核心范畴与基本原则研究</w:t>
      </w:r>
    </w:p>
    <w:p w14:paraId="22B805E7">
      <w:pPr>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643" w:firstLineChars="200"/>
        <w:jc w:val="both"/>
        <w:textAlignment w:val="auto"/>
        <w:rPr>
          <w:rFonts w:hint="eastAsia" w:ascii="仿宋" w:hAnsi="仿宋" w:eastAsia="仿宋" w:cs="仿宋"/>
          <w:b/>
          <w:bCs/>
          <w:kern w:val="2"/>
          <w:sz w:val="32"/>
          <w:szCs w:val="24"/>
          <w:lang w:val="en-US" w:eastAsia="zh-CN" w:bidi="ar-SA"/>
        </w:rPr>
      </w:pPr>
      <w:r>
        <w:rPr>
          <w:rFonts w:hint="eastAsia" w:ascii="仿宋" w:hAnsi="仿宋" w:eastAsia="仿宋" w:cs="仿宋"/>
          <w:b/>
          <w:bCs/>
          <w:kern w:val="2"/>
          <w:sz w:val="32"/>
          <w:szCs w:val="24"/>
          <w:lang w:val="en-US" w:eastAsia="zh-CN" w:bidi="ar-SA"/>
        </w:rPr>
        <w:t>主要任务：</w:t>
      </w:r>
    </w:p>
    <w:p w14:paraId="6D986C22">
      <w:pPr>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640" w:firstLineChars="200"/>
        <w:jc w:val="both"/>
        <w:textAlignment w:val="auto"/>
        <w:rPr>
          <w:rFonts w:hint="eastAsia" w:ascii="仿宋" w:hAnsi="仿宋" w:eastAsia="仿宋" w:cs="仿宋"/>
          <w:b w:val="0"/>
          <w:kern w:val="2"/>
          <w:sz w:val="32"/>
          <w:szCs w:val="24"/>
          <w:lang w:val="en-US" w:eastAsia="zh-CN" w:bidi="ar-SA"/>
        </w:rPr>
      </w:pPr>
      <w:r>
        <w:rPr>
          <w:rFonts w:hint="eastAsia" w:ascii="仿宋" w:hAnsi="仿宋" w:eastAsia="仿宋" w:cs="仿宋"/>
          <w:b w:val="0"/>
          <w:kern w:val="2"/>
          <w:sz w:val="32"/>
          <w:szCs w:val="24"/>
          <w:lang w:val="en-US" w:eastAsia="zh-CN" w:bidi="ar-SA"/>
        </w:rPr>
        <w:t>精准界定校园安全立法的核心范畴与法律内涵，确定立法核心基准。</w:t>
      </w:r>
    </w:p>
    <w:p w14:paraId="69EA02D6">
      <w:pPr>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643" w:firstLineChars="200"/>
        <w:jc w:val="both"/>
        <w:textAlignment w:val="auto"/>
        <w:rPr>
          <w:rFonts w:hint="eastAsia" w:ascii="仿宋" w:hAnsi="仿宋" w:eastAsia="仿宋" w:cs="仿宋"/>
          <w:b/>
          <w:bCs/>
          <w:kern w:val="2"/>
          <w:sz w:val="32"/>
          <w:szCs w:val="24"/>
          <w:lang w:val="en-US" w:eastAsia="zh-CN" w:bidi="ar-SA"/>
        </w:rPr>
      </w:pPr>
      <w:r>
        <w:rPr>
          <w:rFonts w:hint="eastAsia" w:ascii="仿宋" w:hAnsi="仿宋" w:eastAsia="仿宋" w:cs="仿宋"/>
          <w:b/>
          <w:bCs/>
          <w:kern w:val="2"/>
          <w:sz w:val="32"/>
          <w:szCs w:val="24"/>
          <w:lang w:val="en-US" w:eastAsia="zh-CN" w:bidi="ar-SA"/>
        </w:rPr>
        <w:t>具体方向：</w:t>
      </w:r>
    </w:p>
    <w:p w14:paraId="0259802B">
      <w:pPr>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640" w:firstLineChars="200"/>
        <w:jc w:val="both"/>
        <w:textAlignment w:val="auto"/>
        <w:rPr>
          <w:rFonts w:hint="eastAsia" w:ascii="仿宋" w:hAnsi="仿宋" w:eastAsia="仿宋" w:cs="仿宋"/>
          <w:b w:val="0"/>
          <w:kern w:val="2"/>
          <w:sz w:val="32"/>
          <w:szCs w:val="24"/>
          <w:lang w:val="en-US" w:eastAsia="zh-CN" w:bidi="ar-SA"/>
        </w:rPr>
      </w:pPr>
      <w:r>
        <w:rPr>
          <w:rFonts w:hint="eastAsia" w:ascii="仿宋" w:hAnsi="仿宋" w:eastAsia="仿宋" w:cs="仿宋"/>
          <w:b w:val="0"/>
          <w:kern w:val="2"/>
          <w:sz w:val="32"/>
          <w:szCs w:val="24"/>
          <w:lang w:val="en-US" w:eastAsia="zh-CN" w:bidi="ar-SA"/>
        </w:rPr>
        <w:t>·“校园安全”的法律内涵界定。</w:t>
      </w:r>
    </w:p>
    <w:p w14:paraId="1F5B04AF">
      <w:pPr>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640" w:firstLineChars="200"/>
        <w:jc w:val="both"/>
        <w:textAlignment w:val="auto"/>
        <w:rPr>
          <w:rFonts w:hint="eastAsia" w:ascii="仿宋" w:hAnsi="仿宋" w:eastAsia="仿宋" w:cs="仿宋"/>
          <w:b w:val="0"/>
          <w:kern w:val="2"/>
          <w:sz w:val="32"/>
          <w:szCs w:val="24"/>
          <w:lang w:val="en-US" w:eastAsia="zh-CN" w:bidi="ar-SA"/>
        </w:rPr>
      </w:pPr>
      <w:r>
        <w:rPr>
          <w:rFonts w:hint="eastAsia" w:ascii="仿宋" w:hAnsi="仿宋" w:eastAsia="仿宋" w:cs="仿宋"/>
          <w:b w:val="0"/>
          <w:kern w:val="2"/>
          <w:sz w:val="32"/>
          <w:szCs w:val="24"/>
          <w:lang w:val="en-US" w:eastAsia="zh-CN" w:bidi="ar-SA"/>
        </w:rPr>
        <w:t>·校园安全立法应遵循的基本原则。</w:t>
      </w:r>
    </w:p>
    <w:p w14:paraId="12649F78">
      <w:pPr>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640" w:firstLineChars="200"/>
        <w:jc w:val="both"/>
        <w:textAlignment w:val="auto"/>
        <w:rPr>
          <w:rFonts w:hint="eastAsia" w:ascii="仿宋" w:hAnsi="仿宋" w:eastAsia="仿宋" w:cs="仿宋"/>
          <w:b w:val="0"/>
          <w:kern w:val="2"/>
          <w:sz w:val="32"/>
          <w:szCs w:val="24"/>
          <w:lang w:val="en-US" w:eastAsia="zh-CN" w:bidi="ar-SA"/>
        </w:rPr>
      </w:pPr>
      <w:r>
        <w:rPr>
          <w:rFonts w:hint="eastAsia" w:ascii="仿宋" w:hAnsi="仿宋" w:eastAsia="仿宋" w:cs="仿宋"/>
          <w:b w:val="0"/>
          <w:kern w:val="2"/>
          <w:sz w:val="32"/>
          <w:szCs w:val="24"/>
          <w:lang w:val="en-US" w:eastAsia="zh-CN" w:bidi="ar-SA"/>
        </w:rPr>
        <w:t>·校园安全立法的路径与体例。</w:t>
      </w:r>
    </w:p>
    <w:p w14:paraId="30A18E75">
      <w:pPr>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643" w:firstLineChars="200"/>
        <w:jc w:val="both"/>
        <w:textAlignment w:val="auto"/>
        <w:rPr>
          <w:rFonts w:hint="eastAsia" w:ascii="仿宋" w:hAnsi="仿宋" w:eastAsia="仿宋" w:cs="仿宋"/>
          <w:b/>
          <w:bCs/>
          <w:kern w:val="2"/>
          <w:sz w:val="32"/>
          <w:szCs w:val="24"/>
          <w:lang w:val="en-US" w:eastAsia="zh-CN" w:bidi="ar-SA"/>
        </w:rPr>
      </w:pPr>
      <w:r>
        <w:rPr>
          <w:rFonts w:hint="eastAsia" w:ascii="仿宋" w:hAnsi="仿宋" w:eastAsia="仿宋" w:cs="仿宋"/>
          <w:b/>
          <w:bCs/>
          <w:kern w:val="2"/>
          <w:sz w:val="32"/>
          <w:szCs w:val="24"/>
          <w:lang w:val="en-US" w:eastAsia="zh-CN" w:bidi="ar-SA"/>
        </w:rPr>
        <w:t>4.校园安全责任主体协同治理机制研究</w:t>
      </w:r>
    </w:p>
    <w:p w14:paraId="5ED412A7">
      <w:pPr>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643" w:firstLineChars="200"/>
        <w:jc w:val="both"/>
        <w:textAlignment w:val="auto"/>
        <w:rPr>
          <w:rFonts w:hint="eastAsia" w:ascii="仿宋" w:hAnsi="仿宋" w:eastAsia="仿宋" w:cs="仿宋"/>
          <w:b/>
          <w:bCs/>
          <w:kern w:val="2"/>
          <w:sz w:val="32"/>
          <w:szCs w:val="24"/>
          <w:lang w:val="en-US" w:eastAsia="zh-CN" w:bidi="ar-SA"/>
        </w:rPr>
      </w:pPr>
      <w:r>
        <w:rPr>
          <w:rFonts w:hint="eastAsia" w:ascii="仿宋" w:hAnsi="仿宋" w:eastAsia="仿宋" w:cs="仿宋"/>
          <w:b/>
          <w:bCs/>
          <w:kern w:val="2"/>
          <w:sz w:val="32"/>
          <w:szCs w:val="24"/>
          <w:lang w:val="en-US" w:eastAsia="zh-CN" w:bidi="ar-SA"/>
        </w:rPr>
        <w:t>主要任务：</w:t>
      </w:r>
    </w:p>
    <w:p w14:paraId="798596C6">
      <w:pPr>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640" w:firstLineChars="200"/>
        <w:jc w:val="both"/>
        <w:textAlignment w:val="auto"/>
        <w:rPr>
          <w:rFonts w:hint="eastAsia" w:ascii="仿宋" w:hAnsi="仿宋" w:eastAsia="仿宋" w:cs="仿宋"/>
          <w:b w:val="0"/>
          <w:kern w:val="2"/>
          <w:sz w:val="32"/>
          <w:szCs w:val="24"/>
          <w:lang w:val="en-US" w:eastAsia="zh-CN" w:bidi="ar-SA"/>
        </w:rPr>
      </w:pPr>
      <w:r>
        <w:rPr>
          <w:rFonts w:hint="eastAsia" w:ascii="仿宋" w:hAnsi="仿宋" w:eastAsia="仿宋" w:cs="仿宋"/>
          <w:b w:val="0"/>
          <w:kern w:val="2"/>
          <w:sz w:val="32"/>
          <w:szCs w:val="24"/>
          <w:lang w:val="en-US" w:eastAsia="zh-CN" w:bidi="ar-SA"/>
        </w:rPr>
        <w:t>明确校园安全责任主体的范畴与边界，厘清不同主体的责任表现形式与划分标准，构建权责清晰、运行高效的协同治理机制，并探索其效能评估与优化路径。</w:t>
      </w:r>
    </w:p>
    <w:p w14:paraId="3AE8BB8B">
      <w:pPr>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643" w:firstLineChars="200"/>
        <w:jc w:val="both"/>
        <w:textAlignment w:val="auto"/>
        <w:rPr>
          <w:rFonts w:hint="eastAsia" w:ascii="仿宋" w:hAnsi="仿宋" w:eastAsia="仿宋" w:cs="仿宋"/>
          <w:b/>
          <w:bCs/>
          <w:kern w:val="2"/>
          <w:sz w:val="32"/>
          <w:szCs w:val="24"/>
          <w:lang w:val="en-US" w:eastAsia="zh-CN" w:bidi="ar-SA"/>
        </w:rPr>
      </w:pPr>
      <w:r>
        <w:rPr>
          <w:rFonts w:hint="eastAsia" w:ascii="仿宋" w:hAnsi="仿宋" w:eastAsia="仿宋" w:cs="仿宋"/>
          <w:b/>
          <w:bCs/>
          <w:kern w:val="2"/>
          <w:sz w:val="32"/>
          <w:szCs w:val="24"/>
          <w:lang w:val="en-US" w:eastAsia="zh-CN" w:bidi="ar-SA"/>
        </w:rPr>
        <w:t>具体方向：</w:t>
      </w:r>
    </w:p>
    <w:p w14:paraId="78B34BBE">
      <w:pPr>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640" w:firstLineChars="200"/>
        <w:jc w:val="both"/>
        <w:textAlignment w:val="auto"/>
        <w:rPr>
          <w:rFonts w:hint="eastAsia" w:ascii="仿宋" w:hAnsi="仿宋" w:eastAsia="仿宋" w:cs="仿宋"/>
          <w:b w:val="0"/>
          <w:kern w:val="2"/>
          <w:sz w:val="32"/>
          <w:szCs w:val="24"/>
          <w:lang w:val="en-US" w:eastAsia="zh-CN" w:bidi="ar-SA"/>
        </w:rPr>
      </w:pPr>
      <w:r>
        <w:rPr>
          <w:rFonts w:hint="eastAsia" w:ascii="仿宋" w:hAnsi="仿宋" w:eastAsia="仿宋" w:cs="仿宋"/>
          <w:b w:val="0"/>
          <w:kern w:val="2"/>
          <w:sz w:val="32"/>
          <w:szCs w:val="24"/>
          <w:lang w:val="en-US" w:eastAsia="zh-CN" w:bidi="ar-SA"/>
        </w:rPr>
        <w:t>·校园安全责任主体的法律界定与范畴划分研究，不同责任主体的安全责任表现形式与内容研究。</w:t>
      </w:r>
    </w:p>
    <w:p w14:paraId="0D9F6172">
      <w:pPr>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640" w:firstLineChars="200"/>
        <w:jc w:val="both"/>
        <w:textAlignment w:val="auto"/>
        <w:rPr>
          <w:rFonts w:hint="eastAsia" w:ascii="仿宋" w:hAnsi="仿宋" w:eastAsia="仿宋" w:cs="仿宋"/>
          <w:b w:val="0"/>
          <w:kern w:val="2"/>
          <w:sz w:val="32"/>
          <w:szCs w:val="24"/>
          <w:lang w:val="en-US" w:eastAsia="zh-CN" w:bidi="ar-SA"/>
        </w:rPr>
      </w:pPr>
      <w:r>
        <w:rPr>
          <w:rFonts w:hint="eastAsia" w:ascii="仿宋" w:hAnsi="仿宋" w:eastAsia="仿宋" w:cs="仿宋"/>
          <w:b w:val="0"/>
          <w:kern w:val="2"/>
          <w:sz w:val="32"/>
          <w:szCs w:val="24"/>
          <w:lang w:val="en-US" w:eastAsia="zh-CN" w:bidi="ar-SA"/>
        </w:rPr>
        <w:t>·校园安全责任划分标准与权责边界厘清研究，校园安全多主体协同治理机制的设计与落地路径研究，研究针对协同治理效能的评估与优化机制。</w:t>
      </w:r>
    </w:p>
    <w:p w14:paraId="2C9E4F04">
      <w:pPr>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643" w:firstLineChars="200"/>
        <w:jc w:val="both"/>
        <w:textAlignment w:val="auto"/>
        <w:rPr>
          <w:rFonts w:hint="eastAsia" w:ascii="仿宋" w:hAnsi="仿宋" w:eastAsia="仿宋" w:cs="仿宋"/>
          <w:b/>
          <w:bCs/>
          <w:kern w:val="2"/>
          <w:sz w:val="32"/>
          <w:szCs w:val="24"/>
          <w:lang w:val="en-US" w:eastAsia="zh-CN" w:bidi="ar-SA"/>
        </w:rPr>
      </w:pPr>
      <w:r>
        <w:rPr>
          <w:rFonts w:hint="eastAsia" w:ascii="仿宋" w:hAnsi="仿宋" w:eastAsia="仿宋" w:cs="仿宋"/>
          <w:b/>
          <w:bCs/>
          <w:kern w:val="2"/>
          <w:sz w:val="32"/>
          <w:szCs w:val="24"/>
          <w:lang w:val="en-US" w:eastAsia="zh-CN" w:bidi="ar-SA"/>
        </w:rPr>
        <w:t>5.校园安全重点领域制度研究</w:t>
      </w:r>
    </w:p>
    <w:p w14:paraId="130D09F9">
      <w:pPr>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643" w:firstLineChars="200"/>
        <w:jc w:val="both"/>
        <w:textAlignment w:val="auto"/>
        <w:rPr>
          <w:rFonts w:hint="eastAsia" w:ascii="仿宋" w:hAnsi="仿宋" w:eastAsia="仿宋" w:cs="仿宋"/>
          <w:b/>
          <w:bCs/>
          <w:kern w:val="2"/>
          <w:sz w:val="32"/>
          <w:szCs w:val="24"/>
          <w:lang w:val="en-US" w:eastAsia="zh-CN" w:bidi="ar-SA"/>
        </w:rPr>
      </w:pPr>
      <w:r>
        <w:rPr>
          <w:rFonts w:hint="eastAsia" w:ascii="仿宋" w:hAnsi="仿宋" w:eastAsia="仿宋" w:cs="仿宋"/>
          <w:b/>
          <w:bCs/>
          <w:kern w:val="2"/>
          <w:sz w:val="32"/>
          <w:szCs w:val="24"/>
          <w:lang w:val="en-US" w:eastAsia="zh-CN" w:bidi="ar-SA"/>
        </w:rPr>
        <w:t>主要任务：</w:t>
      </w:r>
    </w:p>
    <w:p w14:paraId="7E74C9D2">
      <w:pPr>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640" w:firstLineChars="200"/>
        <w:jc w:val="both"/>
        <w:textAlignment w:val="auto"/>
        <w:rPr>
          <w:rFonts w:hint="eastAsia" w:ascii="仿宋" w:hAnsi="仿宋" w:eastAsia="仿宋" w:cs="仿宋"/>
          <w:b w:val="0"/>
          <w:kern w:val="2"/>
          <w:sz w:val="32"/>
          <w:szCs w:val="24"/>
          <w:lang w:val="en-US" w:eastAsia="zh-CN" w:bidi="ar-SA"/>
        </w:rPr>
      </w:pPr>
      <w:r>
        <w:rPr>
          <w:rFonts w:hint="eastAsia" w:ascii="仿宋" w:hAnsi="仿宋" w:eastAsia="仿宋" w:cs="仿宋"/>
          <w:b w:val="0"/>
          <w:kern w:val="2"/>
          <w:sz w:val="32"/>
          <w:szCs w:val="24"/>
          <w:lang w:val="en-US" w:eastAsia="zh-CN" w:bidi="ar-SA"/>
        </w:rPr>
        <w:t>聚焦校园人身安全等关键领域及特殊场景、特殊群体保护需求，健全校园安全保险配套机制。</w:t>
      </w:r>
    </w:p>
    <w:p w14:paraId="1EDDE619">
      <w:pPr>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643" w:firstLineChars="200"/>
        <w:jc w:val="both"/>
        <w:textAlignment w:val="auto"/>
        <w:rPr>
          <w:rFonts w:hint="eastAsia" w:ascii="仿宋" w:hAnsi="仿宋" w:eastAsia="仿宋" w:cs="仿宋"/>
          <w:b/>
          <w:bCs/>
          <w:kern w:val="2"/>
          <w:sz w:val="32"/>
          <w:szCs w:val="24"/>
          <w:lang w:val="en-US" w:eastAsia="zh-CN" w:bidi="ar-SA"/>
        </w:rPr>
      </w:pPr>
      <w:r>
        <w:rPr>
          <w:rFonts w:hint="eastAsia" w:ascii="仿宋" w:hAnsi="仿宋" w:eastAsia="仿宋" w:cs="仿宋"/>
          <w:b/>
          <w:bCs/>
          <w:kern w:val="2"/>
          <w:sz w:val="32"/>
          <w:szCs w:val="24"/>
          <w:lang w:val="en-US" w:eastAsia="zh-CN" w:bidi="ar-SA"/>
        </w:rPr>
        <w:t>具体方向：</w:t>
      </w:r>
    </w:p>
    <w:p w14:paraId="3581A967">
      <w:pPr>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640" w:firstLineChars="200"/>
        <w:jc w:val="both"/>
        <w:textAlignment w:val="auto"/>
        <w:rPr>
          <w:rFonts w:hint="eastAsia" w:ascii="仿宋" w:hAnsi="仿宋" w:eastAsia="仿宋" w:cs="仿宋"/>
          <w:b w:val="0"/>
          <w:kern w:val="2"/>
          <w:sz w:val="32"/>
          <w:szCs w:val="24"/>
          <w:lang w:val="en-US" w:eastAsia="zh-CN" w:bidi="ar-SA"/>
        </w:rPr>
      </w:pPr>
      <w:r>
        <w:rPr>
          <w:rFonts w:hint="eastAsia" w:ascii="仿宋" w:hAnsi="仿宋" w:eastAsia="仿宋" w:cs="仿宋"/>
          <w:b w:val="0"/>
          <w:kern w:val="2"/>
          <w:sz w:val="32"/>
          <w:szCs w:val="24"/>
          <w:lang w:val="en-US" w:eastAsia="zh-CN" w:bidi="ar-SA"/>
        </w:rPr>
        <w:t>·校园安全整体性立法研究。</w:t>
      </w:r>
    </w:p>
    <w:p w14:paraId="2360D744">
      <w:pPr>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640" w:firstLineChars="200"/>
        <w:jc w:val="both"/>
        <w:textAlignment w:val="auto"/>
        <w:rPr>
          <w:rFonts w:hint="eastAsia" w:ascii="仿宋" w:hAnsi="仿宋" w:eastAsia="仿宋" w:cs="仿宋"/>
          <w:b w:val="0"/>
          <w:kern w:val="2"/>
          <w:sz w:val="32"/>
          <w:szCs w:val="24"/>
          <w:lang w:val="en-US" w:eastAsia="zh-CN" w:bidi="ar-SA"/>
        </w:rPr>
      </w:pPr>
      <w:r>
        <w:rPr>
          <w:rFonts w:hint="eastAsia" w:ascii="仿宋" w:hAnsi="仿宋" w:eastAsia="仿宋" w:cs="仿宋"/>
          <w:b w:val="0"/>
          <w:kern w:val="2"/>
          <w:sz w:val="32"/>
          <w:szCs w:val="24"/>
          <w:lang w:val="en-US" w:eastAsia="zh-CN" w:bidi="ar-SA"/>
        </w:rPr>
        <w:t>·校园人身安全、环境安全、管理安全、特殊保护（特殊场景、特殊群体等）等细分领域小切口立法研究。</w:t>
      </w:r>
    </w:p>
    <w:p w14:paraId="3EA503D3">
      <w:pPr>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640" w:firstLineChars="200"/>
        <w:jc w:val="both"/>
        <w:textAlignment w:val="auto"/>
        <w:rPr>
          <w:rFonts w:hint="eastAsia" w:ascii="仿宋" w:hAnsi="仿宋" w:eastAsia="仿宋" w:cs="仿宋"/>
          <w:b w:val="0"/>
          <w:kern w:val="2"/>
          <w:sz w:val="32"/>
          <w:szCs w:val="24"/>
          <w:lang w:val="en-US" w:eastAsia="zh-CN" w:bidi="ar-SA"/>
        </w:rPr>
      </w:pPr>
      <w:r>
        <w:rPr>
          <w:rFonts w:hint="eastAsia" w:ascii="仿宋" w:hAnsi="仿宋" w:eastAsia="仿宋" w:cs="仿宋"/>
          <w:b w:val="0"/>
          <w:kern w:val="2"/>
          <w:sz w:val="32"/>
          <w:szCs w:val="24"/>
          <w:lang w:val="en-US" w:eastAsia="zh-CN" w:bidi="ar-SA"/>
        </w:rPr>
        <w:t>·校园安全综合险立法研究。</w:t>
      </w:r>
    </w:p>
    <w:p w14:paraId="0593BFF0">
      <w:pPr>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643" w:firstLineChars="200"/>
        <w:jc w:val="both"/>
        <w:textAlignment w:val="auto"/>
        <w:rPr>
          <w:rFonts w:hint="eastAsia" w:ascii="仿宋" w:hAnsi="仿宋" w:eastAsia="仿宋" w:cs="仿宋"/>
          <w:b/>
          <w:bCs/>
          <w:kern w:val="2"/>
          <w:sz w:val="32"/>
          <w:szCs w:val="24"/>
          <w:lang w:val="en-US" w:eastAsia="zh-CN" w:bidi="ar-SA"/>
        </w:rPr>
      </w:pPr>
      <w:r>
        <w:rPr>
          <w:rFonts w:hint="eastAsia" w:ascii="仿宋" w:hAnsi="仿宋" w:eastAsia="仿宋" w:cs="仿宋"/>
          <w:b/>
          <w:bCs/>
          <w:kern w:val="2"/>
          <w:sz w:val="32"/>
          <w:szCs w:val="24"/>
          <w:lang w:val="en-US" w:eastAsia="zh-CN" w:bidi="ar-SA"/>
        </w:rPr>
        <w:t>6.校园安全法律责任与救济机制研究</w:t>
      </w:r>
    </w:p>
    <w:p w14:paraId="01735CA2">
      <w:pPr>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643" w:firstLineChars="200"/>
        <w:jc w:val="both"/>
        <w:textAlignment w:val="auto"/>
        <w:rPr>
          <w:rFonts w:hint="eastAsia" w:ascii="仿宋" w:hAnsi="仿宋" w:eastAsia="仿宋" w:cs="仿宋"/>
          <w:b/>
          <w:bCs/>
          <w:kern w:val="2"/>
          <w:sz w:val="32"/>
          <w:szCs w:val="24"/>
          <w:lang w:val="en-US" w:eastAsia="zh-CN" w:bidi="ar-SA"/>
        </w:rPr>
      </w:pPr>
      <w:r>
        <w:rPr>
          <w:rFonts w:hint="eastAsia" w:ascii="仿宋" w:hAnsi="仿宋" w:eastAsia="仿宋" w:cs="仿宋"/>
          <w:b/>
          <w:bCs/>
          <w:kern w:val="2"/>
          <w:sz w:val="32"/>
          <w:szCs w:val="24"/>
          <w:lang w:val="en-US" w:eastAsia="zh-CN" w:bidi="ar-SA"/>
        </w:rPr>
        <w:t>主要任务：</w:t>
      </w:r>
    </w:p>
    <w:p w14:paraId="4C94110D">
      <w:pPr>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640" w:firstLineChars="200"/>
        <w:jc w:val="both"/>
        <w:textAlignment w:val="auto"/>
        <w:rPr>
          <w:rFonts w:hint="eastAsia" w:ascii="仿宋" w:hAnsi="仿宋" w:eastAsia="仿宋" w:cs="仿宋"/>
          <w:b w:val="0"/>
          <w:kern w:val="2"/>
          <w:sz w:val="32"/>
          <w:szCs w:val="24"/>
          <w:lang w:val="en-US" w:eastAsia="zh-CN" w:bidi="ar-SA"/>
        </w:rPr>
      </w:pPr>
      <w:r>
        <w:rPr>
          <w:rFonts w:hint="eastAsia" w:ascii="仿宋" w:hAnsi="仿宋" w:eastAsia="仿宋" w:cs="仿宋"/>
          <w:b w:val="0"/>
          <w:kern w:val="2"/>
          <w:sz w:val="32"/>
          <w:szCs w:val="24"/>
          <w:lang w:val="en-US" w:eastAsia="zh-CN" w:bidi="ar-SA"/>
        </w:rPr>
        <w:t>构建清晰完备的校园安全法律责任体系，畅通多元救济渠道并强化协同效能，创新损害赔偿与风险分担模式，完善相关法治与制度配套保障。</w:t>
      </w:r>
    </w:p>
    <w:p w14:paraId="258EB531">
      <w:pPr>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643" w:firstLineChars="200"/>
        <w:jc w:val="both"/>
        <w:textAlignment w:val="auto"/>
        <w:rPr>
          <w:rFonts w:hint="eastAsia" w:ascii="仿宋" w:hAnsi="仿宋" w:eastAsia="仿宋" w:cs="仿宋"/>
          <w:b/>
          <w:bCs/>
          <w:kern w:val="2"/>
          <w:sz w:val="32"/>
          <w:szCs w:val="24"/>
          <w:lang w:val="en-US" w:eastAsia="zh-CN" w:bidi="ar-SA"/>
        </w:rPr>
      </w:pPr>
      <w:r>
        <w:rPr>
          <w:rFonts w:hint="eastAsia" w:ascii="仿宋" w:hAnsi="仿宋" w:eastAsia="仿宋" w:cs="仿宋"/>
          <w:b/>
          <w:bCs/>
          <w:kern w:val="2"/>
          <w:sz w:val="32"/>
          <w:szCs w:val="24"/>
          <w:lang w:val="en-US" w:eastAsia="zh-CN" w:bidi="ar-SA"/>
        </w:rPr>
        <w:t>具体方向：</w:t>
      </w:r>
    </w:p>
    <w:p w14:paraId="31F57C77">
      <w:pPr>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640" w:firstLineChars="200"/>
        <w:jc w:val="both"/>
        <w:textAlignment w:val="auto"/>
        <w:rPr>
          <w:rFonts w:hint="eastAsia" w:ascii="仿宋" w:hAnsi="仿宋" w:eastAsia="仿宋" w:cs="仿宋"/>
          <w:b w:val="0"/>
          <w:kern w:val="2"/>
          <w:sz w:val="32"/>
          <w:szCs w:val="24"/>
          <w:lang w:val="en-US" w:eastAsia="zh-CN" w:bidi="ar-SA"/>
        </w:rPr>
      </w:pPr>
      <w:r>
        <w:rPr>
          <w:rFonts w:hint="eastAsia" w:ascii="仿宋" w:hAnsi="仿宋" w:eastAsia="仿宋" w:cs="仿宋"/>
          <w:b w:val="0"/>
          <w:kern w:val="2"/>
          <w:sz w:val="32"/>
          <w:szCs w:val="24"/>
          <w:lang w:val="en-US" w:eastAsia="zh-CN" w:bidi="ar-SA"/>
        </w:rPr>
        <w:t>·针对校园安全法律责任体系的分类，以及校园安全法律责任产生和分配的法理分析。</w:t>
      </w:r>
    </w:p>
    <w:p w14:paraId="1FDCC73E">
      <w:pPr>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640" w:firstLineChars="200"/>
        <w:jc w:val="both"/>
        <w:textAlignment w:val="auto"/>
        <w:rPr>
          <w:rFonts w:hint="eastAsia" w:ascii="仿宋" w:hAnsi="仿宋" w:eastAsia="仿宋" w:cs="仿宋"/>
          <w:b w:val="0"/>
          <w:kern w:val="2"/>
          <w:sz w:val="32"/>
          <w:szCs w:val="24"/>
          <w:lang w:val="en-US" w:eastAsia="zh-CN" w:bidi="ar-SA"/>
        </w:rPr>
      </w:pPr>
      <w:r>
        <w:rPr>
          <w:rFonts w:hint="eastAsia" w:ascii="仿宋" w:hAnsi="仿宋" w:eastAsia="仿宋" w:cs="仿宋"/>
          <w:b w:val="0"/>
          <w:kern w:val="2"/>
          <w:sz w:val="32"/>
          <w:szCs w:val="24"/>
          <w:lang w:val="en-US" w:eastAsia="zh-CN" w:bidi="ar-SA"/>
        </w:rPr>
        <w:t>·校园安全多元法律救济渠道与协同机制研究。</w:t>
      </w:r>
    </w:p>
    <w:p w14:paraId="17853269">
      <w:pPr>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640" w:firstLineChars="200"/>
        <w:jc w:val="both"/>
        <w:textAlignment w:val="auto"/>
        <w:rPr>
          <w:rFonts w:hint="eastAsia" w:ascii="仿宋" w:hAnsi="仿宋" w:eastAsia="仿宋" w:cs="仿宋"/>
          <w:b w:val="0"/>
          <w:kern w:val="2"/>
          <w:sz w:val="32"/>
          <w:szCs w:val="24"/>
          <w:lang w:val="en-US" w:eastAsia="zh-CN" w:bidi="ar-SA"/>
        </w:rPr>
      </w:pPr>
      <w:r>
        <w:rPr>
          <w:rFonts w:hint="eastAsia" w:ascii="仿宋" w:hAnsi="仿宋" w:eastAsia="仿宋" w:cs="仿宋"/>
          <w:b w:val="0"/>
          <w:kern w:val="2"/>
          <w:sz w:val="32"/>
          <w:szCs w:val="24"/>
          <w:lang w:val="en-US" w:eastAsia="zh-CN" w:bidi="ar-SA"/>
        </w:rPr>
        <w:t>·校园安全损害赔偿与风险分担机制研究，校园安全综合险相关法律制度研究。</w:t>
      </w:r>
    </w:p>
    <w:p w14:paraId="045E31EF">
      <w:pPr>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640" w:firstLineChars="200"/>
        <w:jc w:val="both"/>
        <w:textAlignment w:val="auto"/>
        <w:rPr>
          <w:rFonts w:hint="eastAsia" w:ascii="仿宋" w:hAnsi="仿宋" w:eastAsia="仿宋" w:cs="仿宋"/>
          <w:b w:val="0"/>
          <w:kern w:val="2"/>
          <w:sz w:val="32"/>
          <w:szCs w:val="24"/>
          <w:lang w:val="en-US" w:eastAsia="zh-CN" w:bidi="ar-SA"/>
        </w:rPr>
      </w:pPr>
      <w:r>
        <w:rPr>
          <w:rFonts w:hint="eastAsia" w:ascii="仿宋" w:hAnsi="仿宋" w:eastAsia="仿宋" w:cs="仿宋"/>
          <w:b w:val="0"/>
          <w:kern w:val="2"/>
          <w:sz w:val="32"/>
          <w:szCs w:val="24"/>
          <w:lang w:val="en-US" w:eastAsia="zh-CN" w:bidi="ar-SA"/>
        </w:rPr>
        <w:t>·校园安全立法配套制度的完善对策研究，包括与现行法律法规、部门规章的衔接及立法优先级分析等。</w:t>
      </w:r>
    </w:p>
    <w:p w14:paraId="2450E5E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pPr>
      <w:r>
        <w:rPr>
          <w:rFonts w:hint="eastAsia" w:ascii="楷体" w:hAnsi="楷体" w:eastAsia="楷体" w:cs="楷体"/>
          <w:sz w:val="32"/>
          <w:szCs w:val="32"/>
          <w:lang w:val="en-US" w:eastAsia="zh-CN"/>
        </w:rPr>
        <w:t>成果形式</w:t>
      </w:r>
    </w:p>
    <w:p w14:paraId="6255B06D">
      <w:pPr>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640" w:firstLineChars="200"/>
        <w:jc w:val="both"/>
        <w:textAlignment w:val="auto"/>
        <w:rPr>
          <w:rFonts w:hint="eastAsia" w:ascii="仿宋" w:hAnsi="仿宋" w:eastAsia="仿宋" w:cs="仿宋"/>
          <w:b w:val="0"/>
          <w:kern w:val="2"/>
          <w:sz w:val="32"/>
          <w:szCs w:val="24"/>
          <w:lang w:val="en-US" w:eastAsia="zh-CN" w:bidi="ar-SA"/>
        </w:rPr>
      </w:pPr>
      <w:r>
        <w:rPr>
          <w:rFonts w:hint="eastAsia" w:ascii="仿宋" w:hAnsi="仿宋" w:eastAsia="仿宋" w:cs="仿宋"/>
          <w:b w:val="0"/>
          <w:kern w:val="2"/>
          <w:sz w:val="32"/>
          <w:szCs w:val="24"/>
          <w:lang w:val="en-US" w:eastAsia="zh-CN" w:bidi="ar-SA"/>
        </w:rPr>
        <w:t>·</w:t>
      </w:r>
      <w:r>
        <w:rPr>
          <w:rFonts w:hint="eastAsia" w:ascii="仿宋" w:hAnsi="仿宋" w:eastAsia="仿宋" w:cs="仿宋"/>
          <w:b/>
          <w:bCs/>
          <w:kern w:val="2"/>
          <w:sz w:val="32"/>
          <w:szCs w:val="24"/>
          <w:lang w:val="en-US" w:eastAsia="zh-CN" w:bidi="ar-SA"/>
        </w:rPr>
        <w:t>调研报告/专项报告。</w:t>
      </w:r>
      <w:r>
        <w:rPr>
          <w:rFonts w:hint="eastAsia" w:ascii="仿宋" w:hAnsi="仿宋" w:eastAsia="仿宋" w:cs="仿宋"/>
          <w:b w:val="0"/>
          <w:kern w:val="2"/>
          <w:sz w:val="32"/>
          <w:szCs w:val="24"/>
          <w:lang w:val="en-US" w:eastAsia="zh-CN" w:bidi="ar-SA"/>
        </w:rPr>
        <w:t>要求：坚持问题导向，数据来源翔实可靠。剖析问题精准深刻，避免泛泛而谈。提出的对策建议应当具体、务实，具有较强的立法参考价值和可操作性。</w:t>
      </w:r>
    </w:p>
    <w:p w14:paraId="16E69EA3">
      <w:pPr>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640" w:firstLineChars="200"/>
        <w:jc w:val="both"/>
        <w:textAlignment w:val="auto"/>
        <w:rPr>
          <w:rFonts w:hint="eastAsia" w:ascii="仿宋" w:hAnsi="仿宋" w:eastAsia="仿宋" w:cs="仿宋"/>
          <w:b w:val="0"/>
          <w:kern w:val="2"/>
          <w:sz w:val="32"/>
          <w:szCs w:val="24"/>
          <w:lang w:val="en-US" w:eastAsia="zh-CN" w:bidi="ar-SA"/>
        </w:rPr>
      </w:pPr>
      <w:r>
        <w:rPr>
          <w:rFonts w:hint="eastAsia" w:ascii="仿宋" w:hAnsi="仿宋" w:eastAsia="仿宋" w:cs="仿宋"/>
          <w:b w:val="0"/>
          <w:kern w:val="2"/>
          <w:sz w:val="32"/>
          <w:szCs w:val="24"/>
          <w:lang w:val="en-US" w:eastAsia="zh-CN" w:bidi="ar-SA"/>
        </w:rPr>
        <w:t>·</w:t>
      </w:r>
      <w:r>
        <w:rPr>
          <w:rFonts w:hint="eastAsia" w:ascii="仿宋" w:hAnsi="仿宋" w:eastAsia="仿宋" w:cs="仿宋"/>
          <w:b/>
          <w:bCs/>
          <w:kern w:val="2"/>
          <w:sz w:val="32"/>
          <w:szCs w:val="24"/>
          <w:lang w:val="en-US" w:eastAsia="zh-CN" w:bidi="ar-SA"/>
        </w:rPr>
        <w:t>校园安全相关立法专家建议稿及立法说明。</w:t>
      </w:r>
      <w:r>
        <w:rPr>
          <w:rFonts w:hint="eastAsia" w:ascii="仿宋" w:hAnsi="仿宋" w:eastAsia="仿宋" w:cs="仿宋"/>
          <w:b w:val="0"/>
          <w:kern w:val="2"/>
          <w:sz w:val="32"/>
          <w:szCs w:val="24"/>
          <w:lang w:val="en-US" w:eastAsia="zh-CN" w:bidi="ar-SA"/>
        </w:rPr>
        <w:t>建议稿应体系完备、逻辑完整、详略得当。应包括：试拟条文（语言精练、准确，符合《立法技术规范》）。逐条释义（解释条文的必要性、法律依据或法理依据、参考来源以及核心含义、适用范围、规范目的等）。立法说明应从整体说明立法的必要性、重要意义、立法过程以及主要内容。</w:t>
      </w:r>
    </w:p>
    <w:p w14:paraId="619C7EB5">
      <w:pPr>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640" w:firstLineChars="200"/>
        <w:jc w:val="both"/>
        <w:textAlignment w:val="auto"/>
        <w:rPr>
          <w:rFonts w:hint="eastAsia" w:ascii="仿宋" w:hAnsi="仿宋" w:eastAsia="仿宋" w:cs="仿宋"/>
          <w:b w:val="0"/>
          <w:kern w:val="2"/>
          <w:sz w:val="32"/>
          <w:szCs w:val="24"/>
          <w:lang w:val="en-US" w:eastAsia="zh-CN" w:bidi="ar-SA"/>
        </w:rPr>
      </w:pPr>
      <w:r>
        <w:rPr>
          <w:rFonts w:hint="eastAsia" w:ascii="仿宋" w:hAnsi="仿宋" w:eastAsia="仿宋" w:cs="仿宋"/>
          <w:b w:val="0"/>
          <w:kern w:val="2"/>
          <w:sz w:val="32"/>
          <w:szCs w:val="24"/>
          <w:lang w:val="en-US" w:eastAsia="zh-CN" w:bidi="ar-SA"/>
        </w:rPr>
        <w:t>·</w:t>
      </w:r>
      <w:r>
        <w:rPr>
          <w:rFonts w:hint="eastAsia" w:ascii="仿宋" w:hAnsi="仿宋" w:eastAsia="仿宋" w:cs="仿宋"/>
          <w:b/>
          <w:bCs/>
          <w:kern w:val="2"/>
          <w:sz w:val="32"/>
          <w:szCs w:val="24"/>
          <w:lang w:val="en-US" w:eastAsia="zh-CN" w:bidi="ar-SA"/>
        </w:rPr>
        <w:t>决策建议。</w:t>
      </w:r>
      <w:r>
        <w:rPr>
          <w:rFonts w:hint="eastAsia" w:ascii="仿宋" w:hAnsi="仿宋" w:eastAsia="仿宋" w:cs="仿宋"/>
          <w:b w:val="0"/>
          <w:kern w:val="2"/>
          <w:sz w:val="32"/>
          <w:szCs w:val="24"/>
          <w:lang w:val="en-US" w:eastAsia="zh-CN" w:bidi="ar-SA"/>
        </w:rPr>
        <w:t>要求：需突出顶层设计与立法引领性，立足统筹协调各方资源、构建长效安全保障体系，提出校园安全立法的核心框架、权责界定、条文设计等系统性制度建议，明确与现行法律法规、部门规章的衔接逻辑及立法优先级，为国家和地方校园安全立法提供直接参考。</w:t>
      </w:r>
    </w:p>
    <w:p w14:paraId="7265E65E">
      <w:pPr>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640" w:firstLineChars="200"/>
        <w:jc w:val="both"/>
        <w:textAlignment w:val="auto"/>
        <w:rPr>
          <w:rFonts w:hint="eastAsia" w:ascii="仿宋" w:hAnsi="仿宋" w:eastAsia="仿宋" w:cs="仿宋"/>
          <w:b w:val="0"/>
          <w:kern w:val="2"/>
          <w:sz w:val="32"/>
          <w:szCs w:val="24"/>
          <w:lang w:val="en-US" w:eastAsia="zh-CN" w:bidi="ar-SA"/>
        </w:rPr>
      </w:pPr>
      <w:r>
        <w:rPr>
          <w:rFonts w:hint="eastAsia" w:ascii="仿宋" w:hAnsi="仿宋" w:eastAsia="仿宋" w:cs="仿宋"/>
          <w:b w:val="0"/>
          <w:kern w:val="2"/>
          <w:sz w:val="32"/>
          <w:szCs w:val="24"/>
          <w:lang w:val="en-US" w:eastAsia="zh-CN" w:bidi="ar-SA"/>
        </w:rPr>
        <w:t>·</w:t>
      </w:r>
      <w:r>
        <w:rPr>
          <w:rFonts w:hint="eastAsia" w:ascii="仿宋" w:hAnsi="仿宋" w:eastAsia="仿宋" w:cs="仿宋"/>
          <w:b/>
          <w:bCs/>
          <w:kern w:val="2"/>
          <w:sz w:val="32"/>
          <w:szCs w:val="24"/>
          <w:lang w:val="en-US" w:eastAsia="zh-CN" w:bidi="ar-SA"/>
        </w:rPr>
        <w:t>期刊论文。</w:t>
      </w:r>
      <w:r>
        <w:rPr>
          <w:rFonts w:hint="eastAsia" w:ascii="仿宋" w:hAnsi="仿宋" w:eastAsia="仿宋" w:cs="仿宋"/>
          <w:b w:val="0"/>
          <w:kern w:val="2"/>
          <w:sz w:val="32"/>
          <w:szCs w:val="24"/>
          <w:lang w:val="en-US" w:eastAsia="zh-CN" w:bidi="ar-SA"/>
        </w:rPr>
        <w:t>要求：紧扣核心议题、鼓励跨学科视角，论文需以权威法律法规文本、典型司法案例、实证调研数据及国内外相关研究成果等为支撑，研究结论与政策主张需凸显学术高度与理论引领性，兼顾学术深度与实践价值。</w:t>
      </w:r>
    </w:p>
    <w:p w14:paraId="2F20024F">
      <w:pPr>
        <w:keepNext w:val="0"/>
        <w:keepLines w:val="0"/>
        <w:pageBreakBefore w:val="0"/>
        <w:widowControl w:val="0"/>
        <w:numPr>
          <w:numId w:val="0"/>
        </w:numPr>
        <w:kinsoku/>
        <w:wordWrap/>
        <w:overflowPunct/>
        <w:topLinePunct w:val="0"/>
        <w:autoSpaceDE/>
        <w:autoSpaceDN/>
        <w:bidi w:val="0"/>
        <w:adjustRightInd/>
        <w:snapToGrid/>
        <w:spacing w:line="560" w:lineRule="exact"/>
        <w:ind w:firstLine="640" w:firstLineChars="200"/>
        <w:textAlignment w:val="auto"/>
      </w:pPr>
      <w:r>
        <w:rPr>
          <w:rFonts w:hint="eastAsia" w:ascii="黑体" w:hAnsi="黑体" w:eastAsia="黑体" w:cs="黑体"/>
          <w:sz w:val="32"/>
          <w:szCs w:val="32"/>
          <w:lang w:val="en-US" w:eastAsia="zh-CN"/>
        </w:rPr>
        <w:t>四、国（境）外学位质量评价及认证制度研究（重点）</w:t>
      </w:r>
    </w:p>
    <w:p w14:paraId="776F692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指南意图</w:t>
      </w:r>
    </w:p>
    <w:p w14:paraId="2301E18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b w:val="0"/>
          <w:kern w:val="2"/>
          <w:sz w:val="32"/>
          <w:szCs w:val="24"/>
          <w:lang w:val="en-US" w:eastAsia="zh-CN" w:bidi="ar-SA"/>
        </w:rPr>
        <w:t>·</w:t>
      </w:r>
      <w:r>
        <w:rPr>
          <w:rFonts w:hint="eastAsia" w:ascii="仿宋" w:hAnsi="仿宋" w:eastAsia="仿宋" w:cs="仿宋"/>
          <w:sz w:val="32"/>
          <w:szCs w:val="32"/>
        </w:rPr>
        <w:t>调研国（境）外主要国家、地区高等教育机构资质评估、课程与教学质量评估以及学生学习成果评估体系的历史沿革与现状；</w:t>
      </w:r>
    </w:p>
    <w:p w14:paraId="68D9538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b w:val="0"/>
          <w:kern w:val="2"/>
          <w:sz w:val="32"/>
          <w:szCs w:val="24"/>
          <w:lang w:val="en-US" w:eastAsia="zh-CN" w:bidi="ar-SA"/>
        </w:rPr>
        <w:t>·</w:t>
      </w:r>
      <w:r>
        <w:rPr>
          <w:rFonts w:hint="eastAsia" w:ascii="仿宋" w:hAnsi="仿宋" w:eastAsia="仿宋" w:cs="仿宋"/>
          <w:sz w:val="32"/>
          <w:szCs w:val="32"/>
        </w:rPr>
        <w:t>研究国（境）外文凭证书与同等学历学位对应规则、跨境在线教育的质量保证与文凭证书互认机制；</w:t>
      </w:r>
    </w:p>
    <w:p w14:paraId="3453DAB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b w:val="0"/>
          <w:kern w:val="2"/>
          <w:sz w:val="32"/>
          <w:szCs w:val="24"/>
          <w:lang w:val="en-US" w:eastAsia="zh-CN" w:bidi="ar-SA"/>
        </w:rPr>
        <w:t>·</w:t>
      </w:r>
      <w:r>
        <w:rPr>
          <w:rFonts w:hint="eastAsia" w:ascii="仿宋" w:hAnsi="仿宋" w:eastAsia="仿宋" w:cs="仿宋"/>
          <w:sz w:val="32"/>
          <w:szCs w:val="32"/>
        </w:rPr>
        <w:t>构建国（境）外学位质量评价体系，拓宽现行认证办法的外延和内涵；</w:t>
      </w:r>
    </w:p>
    <w:p w14:paraId="4E95AE9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b w:val="0"/>
          <w:kern w:val="2"/>
          <w:sz w:val="32"/>
          <w:szCs w:val="24"/>
          <w:lang w:val="en-US" w:eastAsia="zh-CN" w:bidi="ar-SA"/>
        </w:rPr>
        <w:t>·</w:t>
      </w:r>
      <w:r>
        <w:rPr>
          <w:rFonts w:hint="eastAsia" w:ascii="仿宋" w:hAnsi="仿宋" w:eastAsia="仿宋" w:cs="仿宋"/>
          <w:sz w:val="32"/>
          <w:szCs w:val="32"/>
        </w:rPr>
        <w:t>完善我国学位认证制度和认证标准及与质量相关的评估考察标准和程序。</w:t>
      </w:r>
    </w:p>
    <w:p w14:paraId="1E4B75B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五、国（境）外学历学位认证标准体系优化研究（重点）</w:t>
      </w:r>
    </w:p>
    <w:p w14:paraId="3492D04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指南意图</w:t>
      </w:r>
    </w:p>
    <w:p w14:paraId="3B63259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b w:val="0"/>
          <w:kern w:val="2"/>
          <w:sz w:val="32"/>
          <w:szCs w:val="24"/>
          <w:lang w:val="en-US" w:eastAsia="zh-CN" w:bidi="ar-SA"/>
        </w:rPr>
        <w:t>·</w:t>
      </w:r>
      <w:r>
        <w:rPr>
          <w:rFonts w:hint="eastAsia" w:ascii="仿宋" w:hAnsi="仿宋" w:eastAsia="仿宋" w:cs="仿宋"/>
          <w:sz w:val="32"/>
          <w:szCs w:val="32"/>
        </w:rPr>
        <w:t>梳理国（境）外学历学位认证服务的上位政策与法理基础；</w:t>
      </w:r>
    </w:p>
    <w:p w14:paraId="33A3551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b w:val="0"/>
          <w:kern w:val="2"/>
          <w:sz w:val="32"/>
          <w:szCs w:val="24"/>
          <w:lang w:val="en-US" w:eastAsia="zh-CN" w:bidi="ar-SA"/>
        </w:rPr>
        <w:t>·</w:t>
      </w:r>
      <w:r>
        <w:rPr>
          <w:rFonts w:hint="eastAsia" w:ascii="仿宋" w:hAnsi="仿宋" w:eastAsia="仿宋" w:cs="仿宋"/>
          <w:sz w:val="32"/>
          <w:szCs w:val="32"/>
        </w:rPr>
        <w:t>分析现行国（境）外学历学位认证标准体系的职能发挥情况和局限性；</w:t>
      </w:r>
    </w:p>
    <w:p w14:paraId="6C3985C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b w:val="0"/>
          <w:kern w:val="2"/>
          <w:sz w:val="32"/>
          <w:szCs w:val="24"/>
          <w:lang w:val="en-US" w:eastAsia="zh-CN" w:bidi="ar-SA"/>
        </w:rPr>
        <w:t>·</w:t>
      </w:r>
      <w:r>
        <w:rPr>
          <w:rFonts w:hint="eastAsia" w:ascii="仿宋" w:hAnsi="仿宋" w:eastAsia="仿宋" w:cs="仿宋"/>
          <w:sz w:val="32"/>
          <w:szCs w:val="32"/>
        </w:rPr>
        <w:t>探索国（境）外学历学位认证标准体系优化路径；</w:t>
      </w:r>
    </w:p>
    <w:p w14:paraId="267B915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b w:val="0"/>
          <w:kern w:val="2"/>
          <w:sz w:val="32"/>
          <w:szCs w:val="24"/>
          <w:lang w:val="en-US" w:eastAsia="zh-CN" w:bidi="ar-SA"/>
        </w:rPr>
        <w:t>·</w:t>
      </w:r>
      <w:r>
        <w:rPr>
          <w:rFonts w:hint="eastAsia" w:ascii="仿宋" w:hAnsi="仿宋" w:eastAsia="仿宋" w:cs="仿宋"/>
          <w:sz w:val="32"/>
          <w:szCs w:val="32"/>
        </w:rPr>
        <w:t>形成《国（境）外学历学位认证办法》具体修订方案。</w:t>
      </w:r>
    </w:p>
    <w:p w14:paraId="5D240C6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六、中国教育法制史研究（一般）</w:t>
      </w:r>
    </w:p>
    <w:p w14:paraId="2BA3DB4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指南意图</w:t>
      </w:r>
    </w:p>
    <w:p w14:paraId="2FF258D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b w:val="0"/>
          <w:kern w:val="2"/>
          <w:sz w:val="32"/>
          <w:szCs w:val="24"/>
          <w:lang w:val="en-US" w:eastAsia="zh-CN" w:bidi="ar-SA"/>
        </w:rPr>
        <w:t>·</w:t>
      </w:r>
      <w:r>
        <w:rPr>
          <w:rFonts w:hint="eastAsia" w:ascii="仿宋" w:hAnsi="仿宋" w:eastAsia="仿宋" w:cs="仿宋"/>
          <w:sz w:val="32"/>
          <w:szCs w:val="32"/>
        </w:rPr>
        <w:t>系统梳理中国教育法制的发展脉络，揭示其与政治制度、文化传统的互动关系；</w:t>
      </w:r>
    </w:p>
    <w:p w14:paraId="6F69139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b w:val="0"/>
          <w:kern w:val="2"/>
          <w:sz w:val="32"/>
          <w:szCs w:val="24"/>
          <w:lang w:val="en-US" w:eastAsia="zh-CN" w:bidi="ar-SA"/>
        </w:rPr>
        <w:t>·</w:t>
      </w:r>
      <w:r>
        <w:rPr>
          <w:rFonts w:hint="eastAsia" w:ascii="仿宋" w:hAnsi="仿宋" w:eastAsia="仿宋" w:cs="仿宋"/>
          <w:sz w:val="32"/>
          <w:szCs w:val="32"/>
        </w:rPr>
        <w:t>总结不同历史时期教育法律制度的特征、功能及局限性，提炼对当代教育法治的启示；</w:t>
      </w:r>
    </w:p>
    <w:p w14:paraId="38DECE3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b w:val="0"/>
          <w:kern w:val="2"/>
          <w:sz w:val="32"/>
          <w:szCs w:val="24"/>
          <w:lang w:val="en-US" w:eastAsia="zh-CN" w:bidi="ar-SA"/>
        </w:rPr>
        <w:t>·</w:t>
      </w:r>
      <w:r>
        <w:rPr>
          <w:rFonts w:hint="eastAsia" w:ascii="仿宋" w:hAnsi="仿宋" w:eastAsia="仿宋" w:cs="仿宋"/>
          <w:sz w:val="32"/>
          <w:szCs w:val="32"/>
        </w:rPr>
        <w:t>中国教育法制史的核心专题深度研究，例如教育管理体制、教师和学生身份、学校体系和办学制度等；</w:t>
      </w:r>
    </w:p>
    <w:p w14:paraId="7AE0D1C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b w:val="0"/>
          <w:kern w:val="2"/>
          <w:sz w:val="32"/>
          <w:szCs w:val="24"/>
          <w:lang w:val="en-US" w:eastAsia="zh-CN" w:bidi="ar-SA"/>
        </w:rPr>
        <w:t>·</w:t>
      </w:r>
      <w:r>
        <w:rPr>
          <w:rFonts w:hint="eastAsia" w:ascii="仿宋" w:hAnsi="仿宋" w:eastAsia="仿宋" w:cs="仿宋"/>
          <w:sz w:val="32"/>
          <w:szCs w:val="32"/>
        </w:rPr>
        <w:t>探讨新时代教育法制的创新发展，研究如何将中华优秀传统教育文化与现代法治精神、教育理念相结合，构建具有中国特色、中国风格、中国气派的教育法治文化体系。</w:t>
      </w:r>
    </w:p>
    <w:p w14:paraId="2FB4DAB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成果形式</w:t>
      </w:r>
    </w:p>
    <w:p w14:paraId="209BCB6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综合研究报告、决策建议、期刊论文。</w:t>
      </w:r>
    </w:p>
    <w:p w14:paraId="72E3B31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七、世界主要国家教育基本制度研究（一般）</w:t>
      </w:r>
    </w:p>
    <w:p w14:paraId="34A0B60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指南意图</w:t>
      </w:r>
    </w:p>
    <w:p w14:paraId="62D641E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b w:val="0"/>
          <w:kern w:val="2"/>
          <w:sz w:val="32"/>
          <w:szCs w:val="24"/>
          <w:lang w:val="en-US" w:eastAsia="zh-CN" w:bidi="ar-SA"/>
        </w:rPr>
        <w:t>·</w:t>
      </w:r>
      <w:r>
        <w:rPr>
          <w:rFonts w:hint="eastAsia" w:ascii="仿宋" w:hAnsi="仿宋" w:eastAsia="仿宋" w:cs="仿宋"/>
          <w:sz w:val="32"/>
          <w:szCs w:val="32"/>
        </w:rPr>
        <w:t>全面梳理世界主要国家（涵盖不同大洲、不同发展水平、不同教育模式）教育基本制度的核心框架、主要内容与实施现状，厘清制度设计的逻辑起点与核心导向；</w:t>
      </w:r>
    </w:p>
    <w:p w14:paraId="25F1587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b w:val="0"/>
          <w:kern w:val="2"/>
          <w:sz w:val="32"/>
          <w:szCs w:val="24"/>
          <w:lang w:val="en-US" w:eastAsia="zh-CN" w:bidi="ar-SA"/>
        </w:rPr>
        <w:t>·</w:t>
      </w:r>
      <w:r>
        <w:rPr>
          <w:rFonts w:hint="eastAsia" w:ascii="仿宋" w:hAnsi="仿宋" w:eastAsia="仿宋" w:cs="仿宋"/>
          <w:sz w:val="32"/>
          <w:szCs w:val="32"/>
        </w:rPr>
        <w:t>深入分析各国教育基本制度的运行机制、保障体系、改革路径，总结其在促进教育公平、提升教育质量、服务国家发展等方面的成功经验与潜在问题；</w:t>
      </w:r>
    </w:p>
    <w:p w14:paraId="0E03A83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b w:val="0"/>
          <w:kern w:val="2"/>
          <w:sz w:val="32"/>
          <w:szCs w:val="24"/>
          <w:lang w:val="en-US" w:eastAsia="zh-CN" w:bidi="ar-SA"/>
        </w:rPr>
        <w:t>·</w:t>
      </w:r>
      <w:r>
        <w:rPr>
          <w:rFonts w:hint="eastAsia" w:ascii="仿宋" w:hAnsi="仿宋" w:eastAsia="仿宋" w:cs="仿宋"/>
          <w:sz w:val="32"/>
          <w:szCs w:val="32"/>
        </w:rPr>
        <w:t>结合我国教育发展实际与教育强国建设需求，提炼可借鉴的制度元素与实践路径，提出针对性、可操作的政策建议，为我国教育基本制度改革完善提供决策支撑。</w:t>
      </w:r>
    </w:p>
    <w:p w14:paraId="3980C54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成果形式</w:t>
      </w:r>
    </w:p>
    <w:p w14:paraId="21D22F3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综合研究报告、决策建议、期刊论文。</w:t>
      </w:r>
    </w:p>
    <w:p w14:paraId="162E160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八、人工智能教育国际合作的模式、路径与策略研究（一般）</w:t>
      </w:r>
    </w:p>
    <w:p w14:paraId="37B7C57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指南意图</w:t>
      </w:r>
    </w:p>
    <w:p w14:paraId="668D7BD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b w:val="0"/>
          <w:kern w:val="2"/>
          <w:sz w:val="32"/>
          <w:szCs w:val="24"/>
          <w:lang w:val="en-US" w:eastAsia="zh-CN" w:bidi="ar-SA"/>
        </w:rPr>
        <w:t>·</w:t>
      </w:r>
      <w:r>
        <w:rPr>
          <w:rFonts w:hint="eastAsia" w:ascii="仿宋" w:hAnsi="仿宋" w:eastAsia="仿宋" w:cs="仿宋"/>
          <w:sz w:val="32"/>
          <w:szCs w:val="32"/>
        </w:rPr>
        <w:t>调研周边国家和共建“一带一路”国家人工智能教育政策环境、教育体系与产业基础，重点掌握其在基础教育、职业教育、高等教育和教师教育等领域的实际需求；</w:t>
      </w:r>
    </w:p>
    <w:p w14:paraId="2028FDB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b w:val="0"/>
          <w:kern w:val="2"/>
          <w:sz w:val="32"/>
          <w:szCs w:val="24"/>
          <w:lang w:val="en-US" w:eastAsia="zh-CN" w:bidi="ar-SA"/>
        </w:rPr>
        <w:t>·</w:t>
      </w:r>
      <w:r>
        <w:rPr>
          <w:rFonts w:hint="eastAsia" w:ascii="仿宋" w:hAnsi="仿宋" w:eastAsia="仿宋" w:cs="仿宋"/>
          <w:sz w:val="32"/>
          <w:szCs w:val="32"/>
        </w:rPr>
        <w:t>围绕人工智能教育课程建设、资源共享、平台应用、师资发展和规范互鉴等重点领域，研究中国与相关国家开展合作共建的共通基础、互补空间、实施条件与现实障碍；</w:t>
      </w:r>
    </w:p>
    <w:p w14:paraId="698C381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b w:val="0"/>
          <w:kern w:val="2"/>
          <w:sz w:val="32"/>
          <w:szCs w:val="24"/>
          <w:lang w:val="en-US" w:eastAsia="zh-CN" w:bidi="ar-SA"/>
        </w:rPr>
        <w:t>·</w:t>
      </w:r>
      <w:r>
        <w:rPr>
          <w:rFonts w:hint="eastAsia" w:ascii="仿宋" w:hAnsi="仿宋" w:eastAsia="仿宋" w:cs="仿宋"/>
          <w:sz w:val="32"/>
          <w:szCs w:val="32"/>
        </w:rPr>
        <w:t>梳理欧美国家在上述国家开展人工智能教育合作的主要布局方式和实施路径，比较其在课程建设、平台应用、师资发展和规范标准等方面的做法与成效；</w:t>
      </w:r>
    </w:p>
    <w:p w14:paraId="0018317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b w:val="0"/>
          <w:kern w:val="2"/>
          <w:sz w:val="32"/>
          <w:szCs w:val="24"/>
          <w:lang w:val="en-US" w:eastAsia="zh-CN" w:bidi="ar-SA"/>
        </w:rPr>
        <w:t>·</w:t>
      </w:r>
      <w:r>
        <w:rPr>
          <w:rFonts w:hint="eastAsia" w:ascii="仿宋" w:hAnsi="仿宋" w:eastAsia="仿宋" w:cs="仿宋"/>
          <w:sz w:val="32"/>
          <w:szCs w:val="32"/>
        </w:rPr>
        <w:t>在需求调研、合作基础分析和国际比较基础上，提出中国分层分类推进人工智能教育国际合作的路径设计与政策建议。</w:t>
      </w:r>
    </w:p>
    <w:p w14:paraId="7835CE4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九、高等教育资历跨境认可全球实践和相关履约机制研究（一般）</w:t>
      </w:r>
    </w:p>
    <w:p w14:paraId="5FA7F40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指南意图</w:t>
      </w:r>
    </w:p>
    <w:p w14:paraId="5261704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b w:val="0"/>
          <w:kern w:val="2"/>
          <w:sz w:val="32"/>
          <w:szCs w:val="24"/>
          <w:lang w:val="en-US" w:eastAsia="zh-CN" w:bidi="ar-SA"/>
        </w:rPr>
        <w:t>·</w:t>
      </w:r>
      <w:r>
        <w:rPr>
          <w:rFonts w:hint="eastAsia" w:ascii="仿宋" w:hAnsi="仿宋" w:eastAsia="仿宋" w:cs="仿宋"/>
          <w:sz w:val="32"/>
          <w:szCs w:val="32"/>
        </w:rPr>
        <w:t>调研高等教育资历跨境认可的全球实践现状，梳理我国缔结或参加的相关双多边条约、协定及其履约工作机制；</w:t>
      </w:r>
    </w:p>
    <w:p w14:paraId="375C482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b w:val="0"/>
          <w:kern w:val="2"/>
          <w:sz w:val="32"/>
          <w:szCs w:val="24"/>
          <w:lang w:val="en-US" w:eastAsia="zh-CN" w:bidi="ar-SA"/>
        </w:rPr>
        <w:t>·</w:t>
      </w:r>
      <w:r>
        <w:rPr>
          <w:rFonts w:hint="eastAsia" w:ascii="仿宋" w:hAnsi="仿宋" w:eastAsia="仿宋" w:cs="仿宋"/>
          <w:sz w:val="32"/>
          <w:szCs w:val="32"/>
        </w:rPr>
        <w:t>分析跨境合作、远程教育等新趋势给全球高等教育资历跨境认可和我国履约实践带来的挑战；</w:t>
      </w:r>
    </w:p>
    <w:p w14:paraId="2F5E529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b w:val="0"/>
          <w:kern w:val="2"/>
          <w:sz w:val="32"/>
          <w:szCs w:val="24"/>
          <w:lang w:val="en-US" w:eastAsia="zh-CN" w:bidi="ar-SA"/>
        </w:rPr>
        <w:t>·</w:t>
      </w:r>
      <w:r>
        <w:rPr>
          <w:rFonts w:hint="eastAsia" w:ascii="仿宋" w:hAnsi="仿宋" w:eastAsia="仿宋" w:cs="仿宋"/>
          <w:sz w:val="32"/>
          <w:szCs w:val="32"/>
        </w:rPr>
        <w:t>提出提升我国履约能力和全球治理水平的措施建议。</w:t>
      </w:r>
    </w:p>
    <w:p w14:paraId="4DE17D6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十、来华留学历史变迁与发展趋势研究（一般）</w:t>
      </w:r>
    </w:p>
    <w:p w14:paraId="2D38D8E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指南意图</w:t>
      </w:r>
    </w:p>
    <w:p w14:paraId="3D1724A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b w:val="0"/>
          <w:kern w:val="2"/>
          <w:sz w:val="32"/>
          <w:szCs w:val="24"/>
          <w:lang w:val="en-US" w:eastAsia="zh-CN" w:bidi="ar-SA"/>
        </w:rPr>
        <w:t>·</w:t>
      </w:r>
      <w:r>
        <w:rPr>
          <w:rFonts w:hint="eastAsia" w:ascii="仿宋" w:hAnsi="仿宋" w:eastAsia="仿宋" w:cs="仿宋"/>
          <w:sz w:val="32"/>
          <w:szCs w:val="32"/>
        </w:rPr>
        <w:t>研究来华留学发展的历史演变过程，按不同历史时期梳理相关政策变迁，提炼不同时期来华留学特点及变化趋势；</w:t>
      </w:r>
    </w:p>
    <w:p w14:paraId="47FB91E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b w:val="0"/>
          <w:kern w:val="2"/>
          <w:sz w:val="32"/>
          <w:szCs w:val="24"/>
          <w:lang w:val="en-US" w:eastAsia="zh-CN" w:bidi="ar-SA"/>
        </w:rPr>
        <w:t>·</w:t>
      </w:r>
      <w:r>
        <w:rPr>
          <w:rFonts w:hint="eastAsia" w:ascii="仿宋" w:hAnsi="仿宋" w:eastAsia="仿宋" w:cs="仿宋"/>
          <w:sz w:val="32"/>
          <w:szCs w:val="32"/>
        </w:rPr>
        <w:t>结合当今全球格局和我国国家发展战略，分析当前来华留学发展的现实基础、主要特点、需解决的问题及面临的机遇与挑战等；</w:t>
      </w:r>
    </w:p>
    <w:p w14:paraId="49724B7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b w:val="0"/>
          <w:kern w:val="2"/>
          <w:sz w:val="32"/>
          <w:szCs w:val="24"/>
          <w:lang w:val="en-US" w:eastAsia="zh-CN" w:bidi="ar-SA"/>
        </w:rPr>
        <w:t>·</w:t>
      </w:r>
      <w:r>
        <w:rPr>
          <w:rFonts w:hint="eastAsia" w:ascii="仿宋" w:hAnsi="仿宋" w:eastAsia="仿宋" w:cs="仿宋"/>
          <w:sz w:val="32"/>
          <w:szCs w:val="32"/>
        </w:rPr>
        <w:t>结合历史规律，研判新时代背景下来华留学发展的总体趋势及变化方向；</w:t>
      </w:r>
    </w:p>
    <w:p w14:paraId="45C2077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b w:val="0"/>
          <w:kern w:val="2"/>
          <w:sz w:val="32"/>
          <w:szCs w:val="24"/>
          <w:lang w:val="en-US" w:eastAsia="zh-CN" w:bidi="ar-SA"/>
        </w:rPr>
        <w:t>·</w:t>
      </w:r>
      <w:r>
        <w:rPr>
          <w:rFonts w:hint="eastAsia" w:ascii="仿宋" w:hAnsi="仿宋" w:eastAsia="仿宋" w:cs="仿宋"/>
          <w:sz w:val="32"/>
          <w:szCs w:val="32"/>
        </w:rPr>
        <w:t>形成优化来华留学政策体系和发展路径的对策建议。</w:t>
      </w:r>
    </w:p>
    <w:p w14:paraId="0F8FC65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十一、中国教育法治现代化背景下跨境院校合作关系的机制创新研究（一般）</w:t>
      </w:r>
    </w:p>
    <w:p w14:paraId="30F98BC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指南意图</w:t>
      </w:r>
    </w:p>
    <w:p w14:paraId="5BB2C25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b w:val="0"/>
          <w:kern w:val="2"/>
          <w:sz w:val="32"/>
          <w:szCs w:val="24"/>
          <w:lang w:val="en-US" w:eastAsia="zh-CN" w:bidi="ar-SA"/>
        </w:rPr>
        <w:t>·</w:t>
      </w:r>
      <w:r>
        <w:rPr>
          <w:rFonts w:hint="eastAsia" w:ascii="仿宋" w:hAnsi="仿宋" w:eastAsia="仿宋" w:cs="仿宋"/>
          <w:sz w:val="32"/>
          <w:szCs w:val="32"/>
        </w:rPr>
        <w:t>梳理我国教育法治现代化进程中跨境院校合作的政策演进与实践脉络；</w:t>
      </w:r>
    </w:p>
    <w:p w14:paraId="42B2557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b w:val="0"/>
          <w:kern w:val="2"/>
          <w:sz w:val="32"/>
          <w:szCs w:val="24"/>
          <w:lang w:val="en-US" w:eastAsia="zh-CN" w:bidi="ar-SA"/>
        </w:rPr>
        <w:t>·</w:t>
      </w:r>
      <w:r>
        <w:rPr>
          <w:rFonts w:hint="eastAsia" w:ascii="仿宋" w:hAnsi="仿宋" w:eastAsia="仿宋" w:cs="仿宋"/>
          <w:sz w:val="32"/>
          <w:szCs w:val="32"/>
        </w:rPr>
        <w:t>分析中外法域在教育合作领域的法律规则差异，识别传统合作模式中法律适用、利益分配的核心瓶颈；</w:t>
      </w:r>
    </w:p>
    <w:p w14:paraId="3B42C76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b w:val="0"/>
          <w:kern w:val="2"/>
          <w:sz w:val="32"/>
          <w:szCs w:val="24"/>
          <w:lang w:val="en-US" w:eastAsia="zh-CN" w:bidi="ar-SA"/>
        </w:rPr>
        <w:t>·</w:t>
      </w:r>
      <w:r>
        <w:rPr>
          <w:rFonts w:hint="eastAsia" w:ascii="仿宋" w:hAnsi="仿宋" w:eastAsia="仿宋" w:cs="仿宋"/>
          <w:sz w:val="32"/>
          <w:szCs w:val="32"/>
        </w:rPr>
        <w:t>聚焦联合办学、学分互认、师资共建三大领域，开展跨境院校合作模式的国际比较研究；</w:t>
      </w:r>
    </w:p>
    <w:p w14:paraId="3B8ACCC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b w:val="0"/>
          <w:kern w:val="2"/>
          <w:sz w:val="32"/>
          <w:szCs w:val="24"/>
          <w:lang w:val="en-US" w:eastAsia="zh-CN" w:bidi="ar-SA"/>
        </w:rPr>
        <w:t>·</w:t>
      </w:r>
      <w:r>
        <w:rPr>
          <w:rFonts w:hint="eastAsia" w:ascii="仿宋" w:hAnsi="仿宋" w:eastAsia="仿宋" w:cs="仿宋"/>
          <w:sz w:val="32"/>
          <w:szCs w:val="32"/>
        </w:rPr>
        <w:t>构建适配我国法治要求与全球教育治理趋势的跨境院校合作创新机制，制定学分量化对接、师资资质互认的实操标准；</w:t>
      </w:r>
    </w:p>
    <w:p w14:paraId="00094AD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b w:val="0"/>
          <w:kern w:val="2"/>
          <w:sz w:val="32"/>
          <w:szCs w:val="24"/>
          <w:lang w:val="en-US" w:eastAsia="zh-CN" w:bidi="ar-SA"/>
        </w:rPr>
        <w:t>·</w:t>
      </w:r>
      <w:r>
        <w:rPr>
          <w:rFonts w:hint="eastAsia" w:ascii="仿宋" w:hAnsi="仿宋" w:eastAsia="仿宋" w:cs="仿宋"/>
          <w:sz w:val="32"/>
          <w:szCs w:val="32"/>
        </w:rPr>
        <w:t>提出完善跨境院校合作法律保障体系、优化合作监管流程的意见建议，推动合作高质量可持续发展。</w:t>
      </w:r>
    </w:p>
    <w:p w14:paraId="37EEEE3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十二、新时期人才环流政策导向与应对路径研究——基于建党百年留学报国脉络的审视（一般）</w:t>
      </w:r>
    </w:p>
    <w:p w14:paraId="5387F0A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指南意图</w:t>
      </w:r>
    </w:p>
    <w:p w14:paraId="22D059F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b w:val="0"/>
          <w:kern w:val="2"/>
          <w:sz w:val="32"/>
          <w:szCs w:val="24"/>
          <w:lang w:val="en-US" w:eastAsia="zh-CN" w:bidi="ar-SA"/>
        </w:rPr>
        <w:t>·</w:t>
      </w:r>
      <w:r>
        <w:rPr>
          <w:rFonts w:hint="eastAsia" w:ascii="仿宋" w:hAnsi="仿宋" w:eastAsia="仿宋" w:cs="仿宋"/>
          <w:sz w:val="32"/>
          <w:szCs w:val="32"/>
        </w:rPr>
        <w:t>历史基底构建：以建党百年留学报国脉络为历史基底，系统梳理不同历史时期留学人员归国就业的时代特征、使命担当与贡献轨迹，厘清从建党初期、新中国成立后、改革开放后、十八大以来的留学报国精神传承与人才流动规律；</w:t>
      </w:r>
    </w:p>
    <w:p w14:paraId="5144302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b w:val="0"/>
          <w:kern w:val="2"/>
          <w:sz w:val="32"/>
          <w:szCs w:val="24"/>
          <w:lang w:val="en-US" w:eastAsia="zh-CN" w:bidi="ar-SA"/>
        </w:rPr>
        <w:t>·</w:t>
      </w:r>
      <w:r>
        <w:rPr>
          <w:rFonts w:hint="eastAsia" w:ascii="仿宋" w:hAnsi="仿宋" w:eastAsia="仿宋" w:cs="仿宋"/>
          <w:sz w:val="32"/>
          <w:szCs w:val="32"/>
        </w:rPr>
        <w:t>研究框架搭建：基于历史梳理与现实需求，构建“历史传承-现实适配-价值升华”的一体化研究框架，实现历史维度与现实维度的有机衔接；</w:t>
      </w:r>
    </w:p>
    <w:p w14:paraId="6AD0AB5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b w:val="0"/>
          <w:kern w:val="2"/>
          <w:sz w:val="32"/>
          <w:szCs w:val="24"/>
          <w:lang w:val="en-US" w:eastAsia="zh-CN" w:bidi="ar-SA"/>
        </w:rPr>
        <w:t>·</w:t>
      </w:r>
      <w:r>
        <w:rPr>
          <w:rFonts w:hint="eastAsia" w:ascii="仿宋" w:hAnsi="仿宋" w:eastAsia="仿宋" w:cs="仿宋"/>
          <w:sz w:val="32"/>
          <w:szCs w:val="32"/>
        </w:rPr>
        <w:t>现状调研与瓶颈剖析：在回望百年留学报国初心传承的基础上，精准调研新时代高层次留学归国人员的就业现状、行业分布与作用发挥态势，深入剖析其在供需对接、政策落地、能力适配、环境融入等方面的核心瓶颈；</w:t>
      </w:r>
    </w:p>
    <w:p w14:paraId="6C78313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b w:val="0"/>
          <w:kern w:val="2"/>
          <w:sz w:val="32"/>
          <w:szCs w:val="24"/>
          <w:lang w:val="en-US" w:eastAsia="zh-CN" w:bidi="ar-SA"/>
        </w:rPr>
        <w:t>·</w:t>
      </w:r>
      <w:r>
        <w:rPr>
          <w:rFonts w:hint="eastAsia" w:ascii="仿宋" w:hAnsi="仿宋" w:eastAsia="仿宋" w:cs="仿宋"/>
          <w:sz w:val="32"/>
          <w:szCs w:val="32"/>
        </w:rPr>
        <w:t>关键问题聚焦：重点探究产业需求与人才能力的错位矛盾、政策执行中的堵点难点、重点区域（如美国）的高层次留学人才引进路径问题、跨文化能力向本土实践转化的障碍等关键问题，为后续提出应对举措筑牢问题根基。</w:t>
      </w:r>
    </w:p>
    <w:p w14:paraId="378A9DF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十三、国际组织人才培养与推送协同机制研究（培育）</w:t>
      </w:r>
    </w:p>
    <w:p w14:paraId="59A344E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指南意图</w:t>
      </w:r>
    </w:p>
    <w:p w14:paraId="2F6CE58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b w:val="0"/>
          <w:kern w:val="2"/>
          <w:sz w:val="32"/>
          <w:szCs w:val="24"/>
          <w:lang w:val="en-US" w:eastAsia="zh-CN" w:bidi="ar-SA"/>
        </w:rPr>
        <w:t>·</w:t>
      </w:r>
      <w:r>
        <w:rPr>
          <w:rFonts w:hint="eastAsia" w:ascii="仿宋" w:hAnsi="仿宋" w:eastAsia="仿宋" w:cs="仿宋"/>
          <w:sz w:val="32"/>
          <w:szCs w:val="32"/>
        </w:rPr>
        <w:t>围绕我国参与全球治理的战略需求，分析国际组织对人才素养和能力结构的核心要求；</w:t>
      </w:r>
    </w:p>
    <w:p w14:paraId="51FB463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b w:val="0"/>
          <w:kern w:val="2"/>
          <w:sz w:val="32"/>
          <w:szCs w:val="24"/>
          <w:lang w:val="en-US" w:eastAsia="zh-CN" w:bidi="ar-SA"/>
        </w:rPr>
        <w:t>·</w:t>
      </w:r>
      <w:r>
        <w:rPr>
          <w:rFonts w:hint="eastAsia" w:ascii="仿宋" w:hAnsi="仿宋" w:eastAsia="仿宋" w:cs="仿宋"/>
          <w:sz w:val="32"/>
          <w:szCs w:val="32"/>
        </w:rPr>
        <w:t>结合我国国际组织人才培养与推送实践，识别现有人才培养体系与国际组织用人需求之间的主要短板和制约因素；</w:t>
      </w:r>
    </w:p>
    <w:p w14:paraId="7561AC0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b w:val="0"/>
          <w:kern w:val="2"/>
          <w:sz w:val="32"/>
          <w:szCs w:val="24"/>
          <w:lang w:val="en-US" w:eastAsia="zh-CN" w:bidi="ar-SA"/>
        </w:rPr>
        <w:t>·</w:t>
      </w:r>
      <w:r>
        <w:rPr>
          <w:rFonts w:hint="eastAsia" w:ascii="仿宋" w:hAnsi="仿宋" w:eastAsia="仿宋" w:cs="仿宋"/>
          <w:sz w:val="32"/>
          <w:szCs w:val="32"/>
        </w:rPr>
        <w:t>通过国际比较和中国籍职员任职情况分析，构建“十五五”时期国际组织人才培养的重点领域和能力框架；</w:t>
      </w:r>
    </w:p>
    <w:p w14:paraId="37F59CE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b w:val="0"/>
          <w:kern w:val="2"/>
          <w:sz w:val="32"/>
          <w:szCs w:val="24"/>
          <w:lang w:val="en-US" w:eastAsia="zh-CN" w:bidi="ar-SA"/>
        </w:rPr>
        <w:t>·</w:t>
      </w:r>
      <w:r>
        <w:rPr>
          <w:rFonts w:hint="eastAsia" w:ascii="仿宋" w:hAnsi="仿宋" w:eastAsia="仿宋" w:cs="仿宋"/>
          <w:sz w:val="32"/>
          <w:szCs w:val="32"/>
        </w:rPr>
        <w:t>在调研高校相关培养项目的基础上，探索人才培养、储备与推送的协同机制，提出完善我国国际组织人才工作体系的政策建议。</w:t>
      </w:r>
    </w:p>
    <w:p w14:paraId="743A1A9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十四、中国教育国际传播能力建设研究（培育）</w:t>
      </w:r>
    </w:p>
    <w:p w14:paraId="1664F08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指南意图</w:t>
      </w:r>
    </w:p>
    <w:p w14:paraId="73033B0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b w:val="0"/>
          <w:kern w:val="2"/>
          <w:sz w:val="32"/>
          <w:szCs w:val="24"/>
          <w:lang w:val="en-US" w:eastAsia="zh-CN" w:bidi="ar-SA"/>
        </w:rPr>
        <w:t>·</w:t>
      </w:r>
      <w:r>
        <w:rPr>
          <w:rFonts w:hint="eastAsia" w:ascii="仿宋" w:hAnsi="仿宋" w:eastAsia="仿宋" w:cs="仿宋"/>
          <w:sz w:val="32"/>
          <w:szCs w:val="32"/>
        </w:rPr>
        <w:t>系统梳理党和国家关于国际传播能力建设和教育对外开放的重要部署，明确中国教育国际传播的理论基础和制度要求；</w:t>
      </w:r>
    </w:p>
    <w:p w14:paraId="0AD6FC7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b w:val="0"/>
          <w:kern w:val="2"/>
          <w:sz w:val="32"/>
          <w:szCs w:val="24"/>
          <w:lang w:val="en-US" w:eastAsia="zh-CN" w:bidi="ar-SA"/>
        </w:rPr>
        <w:t>·</w:t>
      </w:r>
      <w:r>
        <w:rPr>
          <w:rFonts w:hint="eastAsia" w:ascii="仿宋" w:hAnsi="仿宋" w:eastAsia="仿宋" w:cs="仿宋"/>
          <w:sz w:val="32"/>
          <w:szCs w:val="32"/>
        </w:rPr>
        <w:t>立足国际形势变化和涉华教育舆论环境，分析中国教育国际传播面临的主要挑战和机制短板；</w:t>
      </w:r>
    </w:p>
    <w:p w14:paraId="1FEB77A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b w:val="0"/>
          <w:kern w:val="2"/>
          <w:sz w:val="32"/>
          <w:szCs w:val="24"/>
          <w:lang w:val="en-US" w:eastAsia="zh-CN" w:bidi="ar-SA"/>
        </w:rPr>
        <w:t>·</w:t>
      </w:r>
      <w:r>
        <w:rPr>
          <w:rFonts w:hint="eastAsia" w:ascii="仿宋" w:hAnsi="仿宋" w:eastAsia="仿宋" w:cs="仿宋"/>
          <w:sz w:val="32"/>
          <w:szCs w:val="32"/>
        </w:rPr>
        <w:t>围绕中国教育国际传播内容体系，研究讲好中国教育故事的叙事方式和话语表达策略；</w:t>
      </w:r>
    </w:p>
    <w:p w14:paraId="29673AD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b w:val="0"/>
          <w:kern w:val="2"/>
          <w:sz w:val="32"/>
          <w:szCs w:val="24"/>
          <w:lang w:val="en-US" w:eastAsia="zh-CN" w:bidi="ar-SA"/>
        </w:rPr>
        <w:t>·</w:t>
      </w:r>
      <w:r>
        <w:rPr>
          <w:rFonts w:hint="eastAsia" w:ascii="仿宋" w:hAnsi="仿宋" w:eastAsia="仿宋" w:cs="仿宋"/>
          <w:sz w:val="32"/>
          <w:szCs w:val="32"/>
        </w:rPr>
        <w:t>结合多元传播主体和数字化场景，创新传播载体和方式，探索提升中国教育国际传播体系整体效能和国际影响力的实践路径与政策建议。</w:t>
      </w:r>
    </w:p>
    <w:p w14:paraId="1C59A54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eastAsia="zh-CN"/>
        </w:rPr>
        <w:t>十五、</w:t>
      </w:r>
      <w:r>
        <w:rPr>
          <w:rFonts w:hint="eastAsia" w:ascii="黑体" w:hAnsi="黑体" w:eastAsia="黑体" w:cs="黑体"/>
          <w:sz w:val="32"/>
          <w:szCs w:val="32"/>
        </w:rPr>
        <w:t>基于巡视视角下的新时代高校科学治理的体系与机制研究（培育）</w:t>
      </w:r>
    </w:p>
    <w:p w14:paraId="2CD3A48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指南意图</w:t>
      </w:r>
    </w:p>
    <w:p w14:paraId="6D164C9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b w:val="0"/>
          <w:kern w:val="2"/>
          <w:sz w:val="32"/>
          <w:szCs w:val="24"/>
          <w:lang w:val="en-US" w:eastAsia="zh-CN" w:bidi="ar-SA"/>
        </w:rPr>
        <w:t>·</w:t>
      </w:r>
      <w:r>
        <w:rPr>
          <w:rFonts w:hint="eastAsia" w:ascii="仿宋" w:hAnsi="仿宋" w:eastAsia="仿宋" w:cs="仿宋"/>
          <w:sz w:val="32"/>
          <w:szCs w:val="32"/>
        </w:rPr>
        <w:t>运用教育部党组对直属非中管高校多轮内部巡视成果，对巡视监督与高校治理的内在关联进行学理化研究，论证将巡视监督嵌入高校治理体系建设的法理逻辑；</w:t>
      </w:r>
    </w:p>
    <w:p w14:paraId="466DEC7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b w:val="0"/>
          <w:kern w:val="2"/>
          <w:sz w:val="32"/>
          <w:szCs w:val="24"/>
          <w:lang w:val="en-US" w:eastAsia="zh-CN" w:bidi="ar-SA"/>
        </w:rPr>
        <w:t>·</w:t>
      </w:r>
      <w:r>
        <w:rPr>
          <w:rFonts w:hint="eastAsia" w:ascii="仿宋" w:hAnsi="仿宋" w:eastAsia="仿宋" w:cs="仿宋"/>
          <w:sz w:val="32"/>
          <w:szCs w:val="32"/>
        </w:rPr>
        <w:t>梳理运用巡视发现的高校治理方面的问题，剖析问题背后的深层次体制机制障碍，深度分析高校治理中的政治法律制度等风险，绘制“高校治理风险图谱”；</w:t>
      </w:r>
    </w:p>
    <w:p w14:paraId="7DEED35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b w:val="0"/>
          <w:kern w:val="2"/>
          <w:sz w:val="32"/>
          <w:szCs w:val="24"/>
          <w:lang w:val="en-US" w:eastAsia="zh-CN" w:bidi="ar-SA"/>
        </w:rPr>
        <w:t>·</w:t>
      </w:r>
      <w:r>
        <w:rPr>
          <w:rFonts w:hint="eastAsia" w:ascii="仿宋" w:hAnsi="仿宋" w:eastAsia="仿宋" w:cs="仿宋"/>
          <w:sz w:val="32"/>
          <w:szCs w:val="32"/>
        </w:rPr>
        <w:t>对高校巡视整改中制度“废改立”的具体实践进行比较分析和案例研究，开展巡视整改驱动下的高校内部治理机制创新研究，探索建立高校治理效能评价体系。</w:t>
      </w:r>
    </w:p>
    <w:p w14:paraId="20B4615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十六、跨境留学安全风险的评价与防控研究（培育）</w:t>
      </w:r>
    </w:p>
    <w:p w14:paraId="1FCC184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指南意图</w:t>
      </w:r>
    </w:p>
    <w:p w14:paraId="6B7C226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b w:val="0"/>
          <w:kern w:val="2"/>
          <w:sz w:val="32"/>
          <w:szCs w:val="24"/>
          <w:lang w:val="en-US" w:eastAsia="zh-CN" w:bidi="ar-SA"/>
        </w:rPr>
        <w:t>·</w:t>
      </w:r>
      <w:r>
        <w:rPr>
          <w:rFonts w:hint="eastAsia" w:ascii="仿宋" w:hAnsi="仿宋" w:eastAsia="仿宋" w:cs="仿宋"/>
          <w:sz w:val="32"/>
          <w:szCs w:val="32"/>
        </w:rPr>
        <w:t>对留学安全风险从人身安全风险、财产安全风险、心理与健康安全风险、学术风险、法律风险等维度进行整理分类；</w:t>
      </w:r>
    </w:p>
    <w:p w14:paraId="33D36FB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b w:val="0"/>
          <w:kern w:val="2"/>
          <w:sz w:val="32"/>
          <w:szCs w:val="24"/>
          <w:lang w:val="en-US" w:eastAsia="zh-CN" w:bidi="ar-SA"/>
        </w:rPr>
        <w:t>·</w:t>
      </w:r>
      <w:r>
        <w:rPr>
          <w:rFonts w:hint="eastAsia" w:ascii="仿宋" w:hAnsi="仿宋" w:eastAsia="仿宋" w:cs="仿宋"/>
          <w:sz w:val="32"/>
          <w:szCs w:val="32"/>
        </w:rPr>
        <w:t>设计构建跨境留学安全风险综合评价模型，为各风险类别下的风险因素设置权重，综合运用定性与定量方法，构建可量化、可比较的综合风险评价模型；</w:t>
      </w:r>
    </w:p>
    <w:p w14:paraId="1C105ED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b w:val="0"/>
          <w:kern w:val="2"/>
          <w:sz w:val="32"/>
          <w:szCs w:val="24"/>
          <w:lang w:val="en-US" w:eastAsia="zh-CN" w:bidi="ar-SA"/>
        </w:rPr>
        <w:t>·</w:t>
      </w:r>
      <w:r>
        <w:rPr>
          <w:rFonts w:hint="eastAsia" w:ascii="仿宋" w:hAnsi="仿宋" w:eastAsia="仿宋" w:cs="仿宋"/>
          <w:sz w:val="32"/>
          <w:szCs w:val="32"/>
        </w:rPr>
        <w:t>根据综合风险评价模型，收集主要留学目的国（英国、美国、新加坡、加拿大、澳大利亚、日本、德国、法国等）统计数据，运用定性与定量方法，对其进行安全风险评价，形成国别评价报告；</w:t>
      </w:r>
    </w:p>
    <w:p w14:paraId="3F5978E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b w:val="0"/>
          <w:kern w:val="2"/>
          <w:sz w:val="32"/>
          <w:szCs w:val="24"/>
          <w:lang w:val="en-US" w:eastAsia="zh-CN" w:bidi="ar-SA"/>
        </w:rPr>
        <w:t>·</w:t>
      </w:r>
      <w:r>
        <w:rPr>
          <w:rFonts w:hint="eastAsia" w:ascii="仿宋" w:hAnsi="仿宋" w:eastAsia="仿宋" w:cs="仿宋"/>
          <w:sz w:val="32"/>
          <w:szCs w:val="32"/>
        </w:rPr>
        <w:t>根据评价报告，对主要留学目的国风险进行分析，参考国内外研究报告和实践经验，制定安全风险防控方案，方案应注重实效性，兼具创新性；</w:t>
      </w:r>
    </w:p>
    <w:p w14:paraId="7CF0497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b w:val="0"/>
          <w:kern w:val="2"/>
          <w:sz w:val="32"/>
          <w:szCs w:val="24"/>
          <w:lang w:val="en-US" w:eastAsia="zh-CN" w:bidi="ar-SA"/>
        </w:rPr>
        <w:t>·</w:t>
      </w:r>
      <w:r>
        <w:rPr>
          <w:rFonts w:hint="eastAsia" w:ascii="仿宋" w:hAnsi="仿宋" w:eastAsia="仿宋" w:cs="仿宋"/>
          <w:sz w:val="32"/>
          <w:szCs w:val="32"/>
        </w:rPr>
        <w:t>设计并构建一个多方协同、贯穿留学全过程的风险防控机制。该机制旨在强化留学生个体的风险防范意识，发挥海外学联的居间协调与中转作用，并推动设立海外分中心以配合驻外使馆开展主动服务。</w:t>
      </w:r>
    </w:p>
    <w:p w14:paraId="374540E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十七、全球主要国家在外留学人员非政府管理服务机制比较研究（培育）</w:t>
      </w:r>
    </w:p>
    <w:p w14:paraId="7F69E63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sz w:val="32"/>
          <w:szCs w:val="32"/>
          <w:lang w:eastAsia="zh-CN"/>
        </w:rPr>
      </w:pPr>
      <w:r>
        <w:rPr>
          <w:rFonts w:hint="eastAsia" w:ascii="楷体" w:hAnsi="楷体" w:eastAsia="楷体" w:cs="楷体"/>
          <w:sz w:val="32"/>
          <w:szCs w:val="32"/>
          <w:lang w:eastAsia="zh-CN"/>
        </w:rPr>
        <w:t>指南意图</w:t>
      </w:r>
    </w:p>
    <w:p w14:paraId="6514A31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b w:val="0"/>
          <w:kern w:val="2"/>
          <w:sz w:val="32"/>
          <w:szCs w:val="24"/>
          <w:lang w:val="en-US" w:eastAsia="zh-CN" w:bidi="ar-SA"/>
        </w:rPr>
        <w:t>·</w:t>
      </w:r>
      <w:r>
        <w:rPr>
          <w:rFonts w:hint="eastAsia" w:ascii="仿宋" w:hAnsi="仿宋" w:eastAsia="仿宋" w:cs="仿宋"/>
          <w:sz w:val="32"/>
          <w:szCs w:val="32"/>
        </w:rPr>
        <w:t>梳理、归纳海外中国留学人员团体的注册形式、规模架构、经费来源、服务模式等特点；</w:t>
      </w:r>
    </w:p>
    <w:p w14:paraId="169B412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b w:val="0"/>
          <w:kern w:val="2"/>
          <w:sz w:val="32"/>
          <w:szCs w:val="24"/>
          <w:lang w:val="en-US" w:eastAsia="zh-CN" w:bidi="ar-SA"/>
        </w:rPr>
        <w:t>·</w:t>
      </w:r>
      <w:r>
        <w:rPr>
          <w:rFonts w:hint="eastAsia" w:ascii="仿宋" w:hAnsi="仿宋" w:eastAsia="仿宋" w:cs="仿宋"/>
          <w:sz w:val="32"/>
          <w:szCs w:val="32"/>
        </w:rPr>
        <w:t>梳理、归纳并比较全球主要国家在海外管理、服务本国留学人员的非政府组织（如：交流协会、学生团体等）及其注册形式、规模架构、经费来源、服务模式等特点；</w:t>
      </w:r>
    </w:p>
    <w:p w14:paraId="5C7C0B5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b w:val="0"/>
          <w:kern w:val="2"/>
          <w:sz w:val="32"/>
          <w:szCs w:val="24"/>
          <w:lang w:val="en-US" w:eastAsia="zh-CN" w:bidi="ar-SA"/>
        </w:rPr>
        <w:t>·</w:t>
      </w:r>
      <w:r>
        <w:rPr>
          <w:rFonts w:hint="eastAsia" w:ascii="仿宋" w:hAnsi="仿宋" w:eastAsia="仿宋" w:cs="仿宋"/>
          <w:sz w:val="32"/>
          <w:szCs w:val="32"/>
        </w:rPr>
        <w:t>梳理全球主要国家针对上述组织或团体出台的政策法规并分析、对比相关的应对策略；</w:t>
      </w:r>
    </w:p>
    <w:p w14:paraId="1F031D3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b w:val="0"/>
          <w:kern w:val="2"/>
          <w:sz w:val="32"/>
          <w:szCs w:val="24"/>
          <w:lang w:val="en-US" w:eastAsia="zh-CN" w:bidi="ar-SA"/>
        </w:rPr>
        <w:t>·</w:t>
      </w:r>
      <w:r>
        <w:rPr>
          <w:rFonts w:hint="eastAsia" w:ascii="仿宋" w:hAnsi="仿宋" w:eastAsia="仿宋" w:cs="仿宋"/>
          <w:sz w:val="32"/>
          <w:szCs w:val="32"/>
        </w:rPr>
        <w:t>对比借鉴他国经验，提出优化海外中国留学人员团体服务机制的方案；</w:t>
      </w:r>
      <w:bookmarkStart w:id="0" w:name="_GoBack"/>
      <w:bookmarkEnd w:id="0"/>
    </w:p>
    <w:p w14:paraId="1AE81DF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b w:val="0"/>
          <w:kern w:val="2"/>
          <w:sz w:val="32"/>
          <w:szCs w:val="24"/>
          <w:lang w:val="en-US" w:eastAsia="zh-CN" w:bidi="ar-SA"/>
        </w:rPr>
        <w:t>·</w:t>
      </w:r>
      <w:r>
        <w:rPr>
          <w:rFonts w:hint="eastAsia" w:ascii="仿宋" w:hAnsi="仿宋" w:eastAsia="仿宋" w:cs="仿宋"/>
          <w:sz w:val="32"/>
          <w:szCs w:val="32"/>
        </w:rPr>
        <w:t>探索在海外设立中国留学人员服务机构的方式并论证其可行性。</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FD1E21C-669B-4A34-84EE-822768B0539B}"/>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9D29771D-2E6C-4BF4-9D4F-BD8F45898D18}"/>
  </w:font>
  <w:font w:name="仿宋">
    <w:panose1 w:val="02010609060101010101"/>
    <w:charset w:val="86"/>
    <w:family w:val="auto"/>
    <w:pitch w:val="default"/>
    <w:sig w:usb0="800002BF" w:usb1="38CF7CFA" w:usb2="00000016" w:usb3="00000000" w:csb0="00040001" w:csb1="00000000"/>
    <w:embedRegular r:id="rId3" w:fontKey="{C64AC072-55AF-4802-B198-6632C71714AA}"/>
  </w:font>
  <w:font w:name="方正公文小标宋">
    <w:panose1 w:val="02000500000000000000"/>
    <w:charset w:val="86"/>
    <w:family w:val="auto"/>
    <w:pitch w:val="default"/>
    <w:sig w:usb0="A00002BF" w:usb1="38CF7CFA" w:usb2="00000016" w:usb3="00000000" w:csb0="00040001" w:csb1="00000000"/>
    <w:embedRegular r:id="rId4" w:fontKey="{280DC00B-B51B-4CD6-B741-5964295FC4DB}"/>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embedRegular r:id="rId5" w:fontKey="{C0CBFFCE-C626-4A36-AED1-C16B9DBBD400}"/>
  </w:font>
  <w:font w:name="Symbol">
    <w:panose1 w:val="05050102010706020507"/>
    <w:charset w:val="00"/>
    <w:family w:val="auto"/>
    <w:pitch w:val="default"/>
    <w:sig w:usb0="00000000" w:usb1="00000000" w:usb2="00000000" w:usb3="00000000" w:csb0="80000000" w:csb1="00000000"/>
  </w:font>
  <w:font w:name="PMingLiU">
    <w:panose1 w:val="02020500000000000000"/>
    <w:charset w:val="88"/>
    <w:family w:val="auto"/>
    <w:pitch w:val="default"/>
    <w:sig w:usb0="A00002FF" w:usb1="28CFFCFA" w:usb2="00000016" w:usb3="00000000" w:csb0="001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D14EE1"/>
    <w:multiLevelType w:val="singleLevel"/>
    <w:tmpl w:val="AED14EE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A5424B"/>
    <w:rsid w:val="5CA542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semiHidden/>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semiHidden/>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0</Words>
  <Characters>0</Characters>
  <Lines>0</Lines>
  <Paragraphs>0</Paragraphs>
  <TotalTime>20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2026-06-03T10:09:00Z</dcterms:created>
  <dc:creator>张征</dc:creator>
  <cp:lastModifiedBy>张征</cp:lastModifiedBy>
  <dcterms:modified xsi:type="dcterms:W3CDTF">2026-06-03T11:11:02Z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5975A1FAB0F2471C90A68C2EC9A2C9F6_11</vt:lpwstr>
  </property>
  <property fmtid="{D5CDD505-2E9C-101B-9397-08002B2CF9AE}" pid="4" name="KSOTemplateDocerSaveRecord">
    <vt:lpwstr>eyJoZGlkIjoiYmVmY2JhZWJjMTQzYmRiNTlkNzUxZjE0OGM1M2IzMDMiLCJ1c2VySWQiOiI0NzkwMjc4NjMifQ==</vt:lpwstr>
  </property>
</Properties>
</file>