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3961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kern w:val="0"/>
          <w:sz w:val="44"/>
          <w:szCs w:val="44"/>
          <w:lang w:val="en-US" w:eastAsia="zh-CN" w:bidi="ar"/>
        </w:rPr>
      </w:pPr>
      <w:r>
        <w:rPr>
          <w:rFonts w:hint="eastAsia" w:ascii="方正公文小标宋" w:hAnsi="方正公文小标宋" w:eastAsia="方正公文小标宋" w:cs="方正公文小标宋"/>
          <w:kern w:val="0"/>
          <w:sz w:val="44"/>
          <w:szCs w:val="44"/>
          <w:lang w:val="en-US" w:eastAsia="zh-CN" w:bidi="ar"/>
        </w:rPr>
        <w:t>2026年全国教育科学规划学生发展研究</w:t>
      </w:r>
    </w:p>
    <w:p w14:paraId="6043E0C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kern w:val="0"/>
          <w:sz w:val="44"/>
          <w:szCs w:val="44"/>
          <w:lang w:val="en-US" w:eastAsia="zh-CN" w:bidi="ar"/>
        </w:rPr>
        <w:t>专项指南</w:t>
      </w:r>
    </w:p>
    <w:p w14:paraId="63B93222">
      <w:pPr>
        <w:keepNext w:val="0"/>
        <w:keepLines w:val="0"/>
        <w:pageBreakBefore w:val="0"/>
        <w:kinsoku/>
        <w:wordWrap/>
        <w:overflowPunct/>
        <w:topLinePunct w:val="0"/>
        <w:autoSpaceDE/>
        <w:autoSpaceDN/>
        <w:bidi w:val="0"/>
        <w:adjustRightInd/>
        <w:snapToGrid/>
        <w:spacing w:line="560" w:lineRule="exact"/>
        <w:textAlignment w:val="auto"/>
      </w:pPr>
    </w:p>
    <w:p w14:paraId="6CBC1983">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rPr>
      </w:pPr>
      <w:bookmarkStart w:id="0" w:name="_GoBack"/>
      <w:r>
        <w:rPr>
          <w:rFonts w:hint="eastAsia" w:ascii="仿宋" w:hAnsi="仿宋" w:eastAsia="仿宋" w:cs="仿宋"/>
          <w:kern w:val="0"/>
          <w:sz w:val="32"/>
          <w:szCs w:val="32"/>
          <w:lang w:val="en-US" w:eastAsia="zh-CN" w:bidi="ar"/>
        </w:rPr>
        <w:t>学生发展研究专项包括重大、重点和一般项目。申报专项须从指南中选题，并按照指南意图进行研究设计。自拟选题不予受理。原则上每个选题只确立1个立项项目。重大、重点项目研究期限为2年，一般项目研究期限为1年，不得延期。</w:t>
      </w:r>
    </w:p>
    <w:p w14:paraId="122DD779">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一、</w:t>
      </w:r>
      <w:r>
        <w:rPr>
          <w:rStyle w:val="5"/>
          <w:rFonts w:hint="eastAsia" w:ascii="黑体" w:hAnsi="黑体" w:eastAsia="黑体" w:cs="黑体"/>
          <w:b w:val="0"/>
          <w:bCs w:val="0"/>
          <w:color w:val="000000" w:themeColor="text1"/>
          <w:kern w:val="0"/>
          <w:sz w:val="32"/>
          <w:szCs w:val="32"/>
          <w:lang w:val="en-US" w:eastAsia="zh-CN" w:bidi="ar"/>
          <w14:textFill>
            <w14:solidFill>
              <w14:schemeClr w14:val="tx1"/>
            </w14:solidFill>
          </w14:textFill>
        </w:rPr>
        <w:t>高等教育数据资源运营机制和路径研究</w:t>
      </w:r>
      <w:r>
        <w:rPr>
          <w:rFonts w:hint="eastAsia" w:ascii="黑体" w:hAnsi="黑体" w:eastAsia="黑体" w:cs="黑体"/>
          <w:b w:val="0"/>
          <w:bCs w:val="0"/>
          <w:color w:val="000000" w:themeColor="text1"/>
          <w:kern w:val="0"/>
          <w:sz w:val="32"/>
          <w:szCs w:val="32"/>
          <w:lang w:val="en-US" w:eastAsia="zh-CN" w:bidi="ar"/>
          <w14:textFill>
            <w14:solidFill>
              <w14:schemeClr w14:val="tx1"/>
            </w14:solidFill>
          </w14:textFill>
        </w:rPr>
        <w:t>（重大）</w:t>
      </w:r>
    </w:p>
    <w:p w14:paraId="1170B6AA">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kern w:val="0"/>
          <w:sz w:val="32"/>
          <w:szCs w:val="32"/>
          <w:lang w:val="en-US" w:eastAsia="zh-CN" w:bidi="ar"/>
        </w:rPr>
        <w:t>指南意图</w:t>
      </w:r>
    </w:p>
    <w:p w14:paraId="6F43BD8B">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·对高等教育相关领域数据的现状开展调研；</w:t>
      </w:r>
    </w:p>
    <w:p w14:paraId="224788C8">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研究符合高等教育数据资源特征的、分层分类的价格机制，探索其成本构成和动态变化特征及关键驱动因素；</w:t>
      </w:r>
    </w:p>
    <w:p w14:paraId="501FBF99">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研究高等教育数据资源多元的市场需求与发展趋势、当前教育数据资源开发利用面临的困境等；</w:t>
      </w:r>
    </w:p>
    <w:p w14:paraId="5265264C">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研究高等教育相关数据资源运营的案例经验、以及其对相关数据资源从政府引导到市场主导的运营价格机制的启示；</w:t>
      </w:r>
    </w:p>
    <w:p w14:paraId="61946475">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基于“特性分析—现状诊断—成本收益解构—市场研判—机制设计—路径规划”逻辑链条研究短期、中期和长期的完整运营体系、实现路径和制度保障。</w:t>
      </w:r>
    </w:p>
    <w:p w14:paraId="26C56F30">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促进高校毕业生高质量充分就业的就业创业政策研究（重点）</w:t>
      </w:r>
    </w:p>
    <w:p w14:paraId="727AC769">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楷体" w:hAnsi="楷体" w:eastAsia="楷体" w:cs="楷体"/>
          <w:kern w:val="0"/>
          <w:sz w:val="32"/>
          <w:szCs w:val="32"/>
          <w:lang w:val="en-US" w:eastAsia="zh-CN" w:bidi="ar"/>
        </w:rPr>
      </w:pPr>
      <w:r>
        <w:rPr>
          <w:rFonts w:hint="eastAsia" w:ascii="楷体" w:hAnsi="楷体" w:eastAsia="楷体" w:cs="楷体"/>
          <w:kern w:val="0"/>
          <w:sz w:val="32"/>
          <w:szCs w:val="32"/>
          <w:lang w:val="en-US" w:eastAsia="zh-CN" w:bidi="ar"/>
        </w:rPr>
        <w:t>指南意图</w:t>
      </w:r>
    </w:p>
    <w:p w14:paraId="533C4F3F">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分析高校毕业生就业创业政策的实施现状、成效与问题；</w:t>
      </w:r>
    </w:p>
    <w:p w14:paraId="56F56C07">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研究高校毕业生就业创业政策演变历程及实施效果评估方法；</w:t>
      </w:r>
    </w:p>
    <w:p w14:paraId="5E3C051D">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研究基层就业、灵活就业、创业扶持等重点领域政策优化路径；</w:t>
      </w:r>
    </w:p>
    <w:p w14:paraId="3EC3EE73">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研究数字经济、乡村振兴等新领域就业潜力挖掘与拓展机制；</w:t>
      </w:r>
    </w:p>
    <w:p w14:paraId="261CED17">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eastAsia="zh-CN"/>
        </w:rPr>
        <w:t>研究政企校协同育人、协同就业、协同服务的创新机制。</w:t>
      </w:r>
    </w:p>
    <w:p w14:paraId="4AE7E1E3">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三、</w:t>
      </w:r>
      <w:r>
        <w:rPr>
          <w:rStyle w:val="5"/>
          <w:rFonts w:hint="eastAsia" w:ascii="黑体" w:hAnsi="黑体" w:eastAsia="黑体" w:cs="黑体"/>
          <w:b w:val="0"/>
          <w:bCs w:val="0"/>
          <w:color w:val="000000" w:themeColor="text1"/>
          <w:kern w:val="0"/>
          <w:sz w:val="32"/>
          <w:szCs w:val="32"/>
          <w:lang w:val="en-US" w:eastAsia="zh-CN" w:bidi="ar"/>
          <w14:textFill>
            <w14:solidFill>
              <w14:schemeClr w14:val="tx1"/>
            </w14:solidFill>
          </w14:textFill>
        </w:rPr>
        <w:t>“以学生为中心”的学生全面发展服务支持体系研究</w:t>
      </w:r>
      <w:r>
        <w:rPr>
          <w:rFonts w:hint="eastAsia" w:ascii="黑体" w:hAnsi="黑体" w:eastAsia="黑体" w:cs="黑体"/>
          <w:b w:val="0"/>
          <w:bCs w:val="0"/>
          <w:color w:val="000000" w:themeColor="text1"/>
          <w:kern w:val="0"/>
          <w:sz w:val="32"/>
          <w:szCs w:val="32"/>
          <w:lang w:val="en-US" w:eastAsia="zh-CN" w:bidi="ar"/>
          <w14:textFill>
            <w14:solidFill>
              <w14:schemeClr w14:val="tx1"/>
            </w14:solidFill>
          </w14:textFill>
        </w:rPr>
        <w:t>（重点）</w:t>
      </w:r>
    </w:p>
    <w:p w14:paraId="1BAB13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楷体" w:hAnsi="楷体" w:eastAsia="楷体" w:cs="楷体"/>
          <w:b w:val="0"/>
          <w:bCs/>
          <w:sz w:val="32"/>
          <w:szCs w:val="32"/>
        </w:rPr>
      </w:pPr>
      <w:r>
        <w:rPr>
          <w:rStyle w:val="5"/>
          <w:rFonts w:hint="eastAsia" w:ascii="楷体" w:hAnsi="楷体" w:eastAsia="楷体" w:cs="楷体"/>
          <w:b w:val="0"/>
          <w:bCs/>
          <w:sz w:val="32"/>
          <w:szCs w:val="32"/>
          <w:bdr w:val="none" w:color="auto" w:sz="0" w:space="0"/>
        </w:rPr>
        <w:t>指南意图</w:t>
      </w:r>
    </w:p>
    <w:p w14:paraId="26BEDB5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系统阐释新时代“以学生为中心”的概念、内涵、特征；</w:t>
      </w:r>
    </w:p>
    <w:p w14:paraId="51CADDA7">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分析“以学生为中心”的大中小学生全面发展服务支持体系的构成要素；</w:t>
      </w:r>
    </w:p>
    <w:p w14:paraId="0AB6C609">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探究大中小学生全面发展的协同促进机制；</w:t>
      </w:r>
    </w:p>
    <w:p w14:paraId="2955089B">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重点从学习、素质发展、服务、资源、保障支持等维度，探索构建“以学生为中心”的系统实施方案和实践路径。</w:t>
      </w:r>
    </w:p>
    <w:p w14:paraId="0275A924">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四、“投资于人”战略视角下高等教育人才供需适配理论与实践研究（一般）</w:t>
      </w:r>
    </w:p>
    <w:p w14:paraId="7747F9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rPr>
        <w:t>指南意图</w:t>
      </w:r>
    </w:p>
    <w:p w14:paraId="5A3EFD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基于宏观数据与调研，分析我国人才供需适配的现状及影响；</w:t>
      </w:r>
    </w:p>
    <w:p w14:paraId="18A17A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识别并分析制约人才供需高水平动态平衡的多维因素；</w:t>
      </w:r>
    </w:p>
    <w:p w14:paraId="0ED3BE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落实“投资于人”战略，构建“政校企生”多维视角理论模型；</w:t>
      </w:r>
    </w:p>
    <w:p w14:paraId="67DF48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提出政策制定、高校改革等实践路径。</w:t>
      </w:r>
    </w:p>
    <w:p w14:paraId="6C8A05ED">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五、以美育促进小学生心理健康的课程开发与实施路径研究（一般）</w:t>
      </w:r>
    </w:p>
    <w:p w14:paraId="3D5709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rPr>
        <w:t>指南意图</w:t>
      </w:r>
    </w:p>
    <w:p w14:paraId="435D83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深入研究美育与心理健康教育融合的理论基础，构建符合儿童发展规律的“美术-心理”双维课程模型，明确课程目标与内容框架；</w:t>
      </w:r>
    </w:p>
    <w:p w14:paraId="379371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系统开发适用于小学的表达性艺术治疗活动资源包，包括课程教案、教学素材、评估工具及配套的师资培训方案，形成完整的教学支持体系；</w:t>
      </w:r>
    </w:p>
    <w:p w14:paraId="5AD626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建立科学有效的课程评价机制，研发涵盖创造力发展、情绪调节能力等方面的简单有效、适合小学生的心理健康评估工具；</w:t>
      </w:r>
    </w:p>
    <w:p w14:paraId="095BFE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探索可复制、可推广的区域实施路径，形成从课程开发、师资培训、教学实施到效果评估的一体化实施方案，为学校教育实践提供参考。</w:t>
      </w:r>
    </w:p>
    <w:p w14:paraId="5FA80B73">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六、数智环境下体系化协同教学推进学生素质发展研究（一般）</w:t>
      </w:r>
    </w:p>
    <w:p w14:paraId="2A754B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rPr>
        <w:t>指南意图</w:t>
      </w:r>
    </w:p>
    <w:p w14:paraId="2F458B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跨地域名师群体群智协同模式研究；</w:t>
      </w:r>
    </w:p>
    <w:p w14:paraId="32A948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名师引领下基于设计行动研究模式研究；</w:t>
      </w:r>
    </w:p>
    <w:p w14:paraId="3957B7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乡村教师素养育人专业实践能力发展成效研究；</w:t>
      </w:r>
    </w:p>
    <w:p w14:paraId="411849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大规模教师群智协同下学生素养发展效果研究。最终形成体系化协同教学新范式。</w:t>
      </w:r>
    </w:p>
    <w:p w14:paraId="2DD96017">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七、人才培养供需适配机制改革评价指标体系与监测系统构建研究（一般）</w:t>
      </w:r>
    </w:p>
    <w:p w14:paraId="753A94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rPr>
        <w:t>指南意图</w:t>
      </w:r>
    </w:p>
    <w:p w14:paraId="0F9413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依托省域或区域高等教育人才供需数据，梳理供需适配机制改革试点现状与问题；</w:t>
      </w:r>
    </w:p>
    <w:p w14:paraId="22912B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构建科学可操作的多维度多层级改革评价指标体系，涵盖供给侧（高校学科专业、培养方案等）与需求侧（产业岗位、技能要求等）；</w:t>
      </w:r>
    </w:p>
    <w:p w14:paraId="3AA406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融合大数据技术，设计智能监测系统架构、功能模块，实现数据归集、动态监测与结果反馈，做到评价指标可量化、监测过程可追溯、改革成效可评估；</w:t>
      </w:r>
    </w:p>
    <w:p w14:paraId="1DB741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提出监测结果与招生计划、培养方案、高质量就业的联动政策建议。</w:t>
      </w:r>
    </w:p>
    <w:p w14:paraId="44A902D5">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八、高校“招生-培养-就业”联动机制研究（一般）</w:t>
      </w:r>
    </w:p>
    <w:p w14:paraId="7D88FC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lang w:val="en-US" w:eastAsia="zh-CN"/>
        </w:rPr>
        <w:t>指南意图</w:t>
      </w:r>
    </w:p>
    <w:p w14:paraId="03A5D6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研究高校招生、培养、就业政策的制定依据和影响因素；</w:t>
      </w:r>
    </w:p>
    <w:p w14:paraId="6E83FF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分析人才培养环节的目标差异和结构特点；</w:t>
      </w:r>
    </w:p>
    <w:p w14:paraId="24C71B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研究高校内部招生、培养、就业部门之间的协作方式和沟通机制；</w:t>
      </w:r>
    </w:p>
    <w:p w14:paraId="1CFED1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研究政府、社会机构在推动高校“招生-培养-就业”联动机制中的作用和方式；</w:t>
      </w:r>
    </w:p>
    <w:p w14:paraId="11B643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构建适应我国高校人才培养模式的“招生-培养-就业”全链条协同机制。</w:t>
      </w:r>
    </w:p>
    <w:p w14:paraId="546AB560">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九、高中生涯教育实践模式与成效评价研究（一般）</w:t>
      </w:r>
    </w:p>
    <w:p w14:paraId="619E61A3">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13C269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探索符合学生需求的高中生涯教育实践模式，为学校提供实践指南，提升生涯教育的针对性与实效性；</w:t>
      </w:r>
    </w:p>
    <w:p w14:paraId="24E811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结合实践模式，提出高中生涯教育成效评价指标和方法；</w:t>
      </w:r>
    </w:p>
    <w:p w14:paraId="6802AF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研发培训课程体系，为高中教师提升生涯教育专业能力和水平提供支撑。</w:t>
      </w:r>
    </w:p>
    <w:p w14:paraId="6B4F6816">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十、高校生涯教育与就业指导课程创新实践研究（一般）</w:t>
      </w:r>
    </w:p>
    <w:p w14:paraId="04388C76">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207108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探索具有时代特征、适应中国国情和文化的生涯教育与就业指导课程内容体系；</w:t>
      </w:r>
    </w:p>
    <w:p w14:paraId="62DF61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以就业育人为导向，基于校情、学情探索校本化课程实践路径；</w:t>
      </w:r>
    </w:p>
    <w:p w14:paraId="512995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构建多形式、多维度、体现生涯教育特色的课程成效评价体系。</w:t>
      </w:r>
    </w:p>
    <w:p w14:paraId="480086CD">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十一、高等教育人才供需适配评价研究（一般）</w:t>
      </w:r>
    </w:p>
    <w:p w14:paraId="6AD2313C">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275D3A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研究高等教育人才供给与经济社会发展需求适配的核心内涵、本质特征及影响机理，构建中国特色高等教育人才供需适配评价理论框架，重点基于就业视角深入分析；</w:t>
      </w:r>
    </w:p>
    <w:p w14:paraId="71D042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研究编制省域、高校人才供需适配评价指标体系，选取不少于2个省份开展省域人才供需适配分析，选取不少于4所不同类型高校开展校级人才供需适配分析；</w:t>
      </w:r>
    </w:p>
    <w:p w14:paraId="47C971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 w:hAnsi="仿宋" w:eastAsia="仿宋" w:cs="仿宋"/>
          <w:kern w:val="0"/>
          <w:sz w:val="32"/>
          <w:szCs w:val="32"/>
          <w:lang w:val="en-US" w:eastAsia="zh-CN" w:bidi="ar"/>
        </w:rPr>
      </w:pPr>
      <w:r>
        <w:rPr>
          <w:rFonts w:hint="eastAsia" w:ascii="仿宋" w:hAnsi="仿宋" w:eastAsia="仿宋" w:cs="仿宋"/>
          <w:sz w:val="32"/>
          <w:szCs w:val="32"/>
          <w:lang w:eastAsia="zh-CN"/>
        </w:rPr>
        <w:t>·</w:t>
      </w:r>
      <w:r>
        <w:rPr>
          <w:rFonts w:hint="eastAsia" w:ascii="仿宋" w:hAnsi="仿宋" w:eastAsia="仿宋" w:cs="仿宋"/>
          <w:sz w:val="32"/>
          <w:szCs w:val="32"/>
          <w:bdr w:val="none" w:color="auto" w:sz="0" w:space="0"/>
        </w:rPr>
        <w:t>提出高等教育人才供需适配优化策略与政策建议，为国家人才供需对接大数据平台建设提供核心支撑。</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986AC8-D428-4549-AB0C-A4C04446AF0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方正公文小标宋">
    <w:panose1 w:val="02000500000000000000"/>
    <w:charset w:val="86"/>
    <w:family w:val="auto"/>
    <w:pitch w:val="default"/>
    <w:sig w:usb0="A00002BF" w:usb1="38CF7CFA" w:usb2="00000016" w:usb3="00000000" w:csb0="00040001" w:csb1="00000000"/>
    <w:embedRegular r:id="rId2" w:fontKey="{E1F5474A-C810-4746-B5D4-E87A610AD223}"/>
  </w:font>
  <w:font w:name="仿宋">
    <w:panose1 w:val="02010609060101010101"/>
    <w:charset w:val="86"/>
    <w:family w:val="auto"/>
    <w:pitch w:val="default"/>
    <w:sig w:usb0="800002BF" w:usb1="38CF7CFA" w:usb2="00000016" w:usb3="00000000" w:csb0="00040001" w:csb1="00000000"/>
    <w:embedRegular r:id="rId3" w:fontKey="{9088D8EC-D573-4F09-BBE4-C23550979B3C}"/>
  </w:font>
  <w:font w:name="楷体">
    <w:panose1 w:val="02010609060101010101"/>
    <w:charset w:val="86"/>
    <w:family w:val="auto"/>
    <w:pitch w:val="default"/>
    <w:sig w:usb0="800002BF" w:usb1="38CF7CFA" w:usb2="00000016" w:usb3="00000000" w:csb0="00040001" w:csb1="00000000"/>
    <w:embedRegular r:id="rId4" w:fontKey="{CF734981-F8DC-4421-B4B8-3887A2866EB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ED7926"/>
    <w:rsid w:val="70ED7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24</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2026-06-04T01:14:00Z</dcterms:created>
  <dc:creator>张征</dc:creator>
  <cp:lastModifiedBy>张征</cp:lastModifiedBy>
  <dcterms:modified xsi:type="dcterms:W3CDTF">2026-06-04T01:40:17Z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01C41FC6C22441CCB4D9A2039105D376_11</vt:lpwstr>
  </property>
  <property fmtid="{D5CDD505-2E9C-101B-9397-08002B2CF9AE}" pid="4" name="KSOTemplateDocerSaveRecord">
    <vt:lpwstr>eyJoZGlkIjoiYmVmY2JhZWJjMTQzYmRiNTlkNzUxZjE0OGM1M2IzMDMiLCJ1c2VySWQiOiI0NzkwMjc4NjMifQ==</vt:lpwstr>
  </property>
</Properties>
</file>